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3E3A" w14:textId="77777777" w:rsidR="003C522C" w:rsidRPr="00057F40" w:rsidRDefault="003C522C" w:rsidP="003C522C">
      <w:pPr>
        <w:pStyle w:val="Overskrift2"/>
        <w:jc w:val="both"/>
        <w:rPr>
          <w:lang w:val="en-US"/>
        </w:rPr>
      </w:pPr>
      <w:r w:rsidRPr="00057F40">
        <w:rPr>
          <w:lang w:val="en-US"/>
        </w:rPr>
        <w:t>Gender equality report NG Group 2023</w:t>
      </w:r>
    </w:p>
    <w:p w14:paraId="686E0C43" w14:textId="77777777" w:rsidR="003C522C" w:rsidRPr="00057F40" w:rsidRDefault="003C522C" w:rsidP="003C522C">
      <w:pPr>
        <w:spacing w:before="0"/>
        <w:contextualSpacing/>
        <w:jc w:val="both"/>
        <w:rPr>
          <w:i/>
          <w:iCs/>
          <w:color w:val="auto"/>
          <w:lang w:val="en-US"/>
        </w:rPr>
      </w:pPr>
    </w:p>
    <w:p w14:paraId="0C853399" w14:textId="2A374C15" w:rsidR="003C522C" w:rsidRPr="003C522C" w:rsidRDefault="003C522C" w:rsidP="003C522C">
      <w:pPr>
        <w:spacing w:before="0"/>
        <w:contextualSpacing/>
        <w:jc w:val="both"/>
        <w:rPr>
          <w:i/>
          <w:iCs/>
          <w:color w:val="auto"/>
          <w:sz w:val="28"/>
          <w:szCs w:val="22"/>
          <w:lang w:val="en-US"/>
        </w:rPr>
      </w:pPr>
      <w:r w:rsidRPr="003C522C">
        <w:rPr>
          <w:i/>
          <w:iCs/>
          <w:color w:val="auto"/>
          <w:sz w:val="28"/>
          <w:szCs w:val="22"/>
          <w:lang w:val="en-US"/>
        </w:rPr>
        <w:t>The environmental and recycling industry has traditionally been male-dominated, and NG</w:t>
      </w:r>
      <w:r>
        <w:rPr>
          <w:i/>
          <w:iCs/>
          <w:color w:val="auto"/>
          <w:sz w:val="28"/>
          <w:szCs w:val="22"/>
          <w:lang w:val="en-US"/>
        </w:rPr>
        <w:t xml:space="preserve"> </w:t>
      </w:r>
      <w:r w:rsidRPr="003C522C">
        <w:rPr>
          <w:i/>
          <w:iCs/>
          <w:color w:val="auto"/>
          <w:sz w:val="28"/>
          <w:szCs w:val="22"/>
          <w:lang w:val="en-US"/>
        </w:rPr>
        <w:t xml:space="preserve">Group makes a conscious effort to recruit and retain more women for various roles in the </w:t>
      </w:r>
      <w:r w:rsidR="008E6CEF">
        <w:rPr>
          <w:i/>
          <w:iCs/>
          <w:color w:val="auto"/>
          <w:sz w:val="28"/>
          <w:szCs w:val="22"/>
          <w:lang w:val="en-US"/>
        </w:rPr>
        <w:t>group.</w:t>
      </w:r>
    </w:p>
    <w:p w14:paraId="6D192B94" w14:textId="77777777" w:rsidR="003C522C" w:rsidRPr="003C522C" w:rsidRDefault="003C522C" w:rsidP="003C522C">
      <w:pPr>
        <w:spacing w:before="0"/>
        <w:contextualSpacing/>
        <w:jc w:val="both"/>
        <w:rPr>
          <w:color w:val="auto"/>
          <w:szCs w:val="24"/>
          <w:lang w:val="en-US"/>
        </w:rPr>
      </w:pPr>
    </w:p>
    <w:p w14:paraId="79A9B30A" w14:textId="77777777" w:rsidR="003C522C" w:rsidRPr="003C522C" w:rsidRDefault="003C522C" w:rsidP="003C522C">
      <w:pPr>
        <w:spacing w:before="0"/>
        <w:jc w:val="both"/>
        <w:rPr>
          <w:color w:val="auto"/>
          <w:szCs w:val="24"/>
          <w:lang w:val="en-US"/>
        </w:rPr>
      </w:pPr>
      <w:r w:rsidRPr="003C522C">
        <w:rPr>
          <w:color w:val="auto"/>
          <w:szCs w:val="24"/>
          <w:lang w:val="en-US"/>
        </w:rPr>
        <w:t xml:space="preserve">The report covers all employees who are employed in Norway, cf. the </w:t>
      </w:r>
      <w:r w:rsidR="00000000">
        <w:fldChar w:fldCharType="begin"/>
      </w:r>
      <w:r w:rsidR="00000000" w:rsidRPr="00E7525A">
        <w:rPr>
          <w:lang w:val="en-US"/>
        </w:rPr>
        <w:instrText>HYPERLINK "https://lovdata.no/dokument/NL/lov/2017-06-16-51/KAPITTEL_4" \l "KAPITTEL_4"</w:instrText>
      </w:r>
      <w:r w:rsidR="00000000">
        <w:fldChar w:fldCharType="separate"/>
      </w:r>
      <w:r w:rsidRPr="003C522C">
        <w:rPr>
          <w:rStyle w:val="Hyperkobling"/>
          <w:szCs w:val="24"/>
          <w:lang w:val="en-US"/>
        </w:rPr>
        <w:t>Equality and Anti-Discrimination Act</w:t>
      </w:r>
      <w:r w:rsidR="00000000">
        <w:rPr>
          <w:rStyle w:val="Hyperkobling"/>
          <w:szCs w:val="24"/>
          <w:lang w:val="en-US"/>
        </w:rPr>
        <w:fldChar w:fldCharType="end"/>
      </w:r>
      <w:r w:rsidRPr="003C522C">
        <w:rPr>
          <w:color w:val="auto"/>
          <w:szCs w:val="24"/>
          <w:lang w:val="en-US"/>
        </w:rPr>
        <w:t xml:space="preserve">. This report is based on all employees in the Norwegian companies in the Group who are paid in NOK. In total, this amounted to 1,849 employees as </w:t>
      </w:r>
      <w:proofErr w:type="gramStart"/>
      <w:r w:rsidRPr="003C522C">
        <w:rPr>
          <w:color w:val="auto"/>
          <w:szCs w:val="24"/>
          <w:lang w:val="en-US"/>
        </w:rPr>
        <w:t>at</w:t>
      </w:r>
      <w:proofErr w:type="gramEnd"/>
      <w:r w:rsidRPr="003C522C">
        <w:rPr>
          <w:color w:val="auto"/>
          <w:szCs w:val="24"/>
          <w:lang w:val="en-US"/>
        </w:rPr>
        <w:t xml:space="preserve"> 31 December 2023. </w:t>
      </w:r>
    </w:p>
    <w:p w14:paraId="7E468495" w14:textId="77777777" w:rsidR="003C522C" w:rsidRPr="003C522C" w:rsidRDefault="003C522C" w:rsidP="003C522C">
      <w:pPr>
        <w:spacing w:before="0"/>
        <w:contextualSpacing/>
        <w:jc w:val="both"/>
        <w:rPr>
          <w:color w:val="auto"/>
          <w:szCs w:val="24"/>
          <w:lang w:val="en-US"/>
        </w:rPr>
      </w:pPr>
    </w:p>
    <w:p w14:paraId="7259555E" w14:textId="77777777" w:rsidR="003C522C" w:rsidRPr="003C522C" w:rsidRDefault="003C522C" w:rsidP="003C522C">
      <w:pPr>
        <w:pStyle w:val="Overskrift3"/>
        <w:jc w:val="both"/>
        <w:rPr>
          <w:color w:val="6D6E71"/>
          <w:szCs w:val="28"/>
          <w:lang w:val="en-US"/>
        </w:rPr>
      </w:pPr>
      <w:r w:rsidRPr="003C522C">
        <w:rPr>
          <w:lang w:val="en-US"/>
        </w:rPr>
        <w:t xml:space="preserve">State of gender balance in </w:t>
      </w:r>
      <w:r w:rsidRPr="003C522C">
        <w:rPr>
          <w:color w:val="auto"/>
          <w:lang w:val="en-US"/>
        </w:rPr>
        <w:t xml:space="preserve">NG Group </w:t>
      </w:r>
    </w:p>
    <w:p w14:paraId="682CE01F" w14:textId="35BD6178" w:rsidR="003C522C" w:rsidRPr="003C522C" w:rsidRDefault="003C522C" w:rsidP="003C522C">
      <w:pPr>
        <w:tabs>
          <w:tab w:val="left" w:pos="709"/>
        </w:tabs>
        <w:spacing w:before="0"/>
        <w:contextualSpacing/>
        <w:jc w:val="both"/>
        <w:rPr>
          <w:lang w:val="en-US"/>
        </w:rPr>
      </w:pPr>
      <w:r w:rsidRPr="003C522C">
        <w:rPr>
          <w:lang w:val="en-US"/>
        </w:rPr>
        <w:t>The table below shows the gender balance in NG Group (the Group in Norway) as of 31 December 2023. The number of temporary employees, average utili</w:t>
      </w:r>
      <w:r w:rsidR="00A55CB8">
        <w:rPr>
          <w:lang w:val="en-US"/>
        </w:rPr>
        <w:t>z</w:t>
      </w:r>
      <w:r w:rsidRPr="003C522C">
        <w:rPr>
          <w:lang w:val="en-US"/>
        </w:rPr>
        <w:t xml:space="preserve">ation of parental leave and part-time employees are reported here. Gender distribution is shown per job category, broken down by the number of female and male employees (regardless of job size). </w:t>
      </w:r>
    </w:p>
    <w:p w14:paraId="1C9EF189" w14:textId="77777777" w:rsidR="003C522C" w:rsidRPr="003C522C" w:rsidRDefault="003C522C" w:rsidP="003C522C">
      <w:pPr>
        <w:tabs>
          <w:tab w:val="left" w:pos="709"/>
        </w:tabs>
        <w:spacing w:before="0"/>
        <w:jc w:val="both"/>
        <w:rPr>
          <w:color w:val="6D6E71"/>
          <w:szCs w:val="24"/>
          <w:lang w:val="en-US"/>
        </w:rPr>
      </w:pPr>
    </w:p>
    <w:tbl>
      <w:tblPr>
        <w:tblStyle w:val="Tabellrutenett"/>
        <w:tblW w:w="0" w:type="auto"/>
        <w:tblLayout w:type="fixed"/>
        <w:tblLook w:val="04A0" w:firstRow="1" w:lastRow="0" w:firstColumn="1" w:lastColumn="0" w:noHBand="0" w:noVBand="1"/>
      </w:tblPr>
      <w:tblGrid>
        <w:gridCol w:w="962"/>
        <w:gridCol w:w="963"/>
        <w:gridCol w:w="963"/>
        <w:gridCol w:w="963"/>
        <w:gridCol w:w="1106"/>
        <w:gridCol w:w="992"/>
        <w:gridCol w:w="790"/>
        <w:gridCol w:w="963"/>
        <w:gridCol w:w="963"/>
        <w:gridCol w:w="963"/>
      </w:tblGrid>
      <w:tr w:rsidR="003C522C" w14:paraId="730E97C7" w14:textId="77777777" w:rsidTr="004972FD">
        <w:tc>
          <w:tcPr>
            <w:tcW w:w="1925" w:type="dxa"/>
            <w:gridSpan w:val="2"/>
            <w:shd w:val="clear" w:color="auto" w:fill="00B0F0"/>
          </w:tcPr>
          <w:p w14:paraId="18A4DA4E" w14:textId="77777777" w:rsidR="003C522C" w:rsidRPr="00E63CD6" w:rsidRDefault="003C522C" w:rsidP="00E63CD6">
            <w:pPr>
              <w:tabs>
                <w:tab w:val="left" w:pos="709"/>
              </w:tabs>
              <w:spacing w:before="0"/>
              <w:jc w:val="center"/>
              <w:rPr>
                <w:b/>
                <w:bCs/>
                <w:sz w:val="22"/>
                <w:szCs w:val="22"/>
              </w:rPr>
            </w:pPr>
            <w:proofErr w:type="spellStart"/>
            <w:r w:rsidRPr="00E63CD6">
              <w:rPr>
                <w:b/>
                <w:bCs/>
                <w:sz w:val="22"/>
                <w:szCs w:val="22"/>
              </w:rPr>
              <w:t>Gender</w:t>
            </w:r>
            <w:proofErr w:type="spellEnd"/>
            <w:r w:rsidRPr="00E63CD6">
              <w:rPr>
                <w:b/>
                <w:bCs/>
                <w:sz w:val="22"/>
                <w:szCs w:val="22"/>
              </w:rPr>
              <w:t xml:space="preserve"> </w:t>
            </w:r>
            <w:proofErr w:type="spellStart"/>
            <w:r w:rsidRPr="00E63CD6">
              <w:rPr>
                <w:b/>
                <w:bCs/>
                <w:sz w:val="22"/>
                <w:szCs w:val="22"/>
              </w:rPr>
              <w:t>balance</w:t>
            </w:r>
            <w:proofErr w:type="spellEnd"/>
          </w:p>
        </w:tc>
        <w:tc>
          <w:tcPr>
            <w:tcW w:w="1926" w:type="dxa"/>
            <w:gridSpan w:val="2"/>
            <w:shd w:val="clear" w:color="auto" w:fill="00B0F0"/>
          </w:tcPr>
          <w:p w14:paraId="0757AB65" w14:textId="77777777" w:rsidR="003C522C" w:rsidRPr="00E63CD6" w:rsidRDefault="003C522C" w:rsidP="00E63CD6">
            <w:pPr>
              <w:tabs>
                <w:tab w:val="left" w:pos="709"/>
              </w:tabs>
              <w:spacing w:before="0"/>
              <w:jc w:val="center"/>
              <w:rPr>
                <w:b/>
                <w:bCs/>
                <w:sz w:val="22"/>
                <w:szCs w:val="22"/>
              </w:rPr>
            </w:pPr>
            <w:proofErr w:type="spellStart"/>
            <w:r w:rsidRPr="00E63CD6">
              <w:rPr>
                <w:b/>
                <w:bCs/>
                <w:sz w:val="22"/>
                <w:szCs w:val="22"/>
              </w:rPr>
              <w:t>Temporary</w:t>
            </w:r>
            <w:proofErr w:type="spellEnd"/>
            <w:r w:rsidRPr="00E63CD6">
              <w:rPr>
                <w:b/>
                <w:bCs/>
                <w:sz w:val="22"/>
                <w:szCs w:val="22"/>
              </w:rPr>
              <w:t xml:space="preserve"> </w:t>
            </w:r>
            <w:proofErr w:type="spellStart"/>
            <w:r w:rsidRPr="00E63CD6">
              <w:rPr>
                <w:b/>
                <w:bCs/>
                <w:sz w:val="22"/>
                <w:szCs w:val="22"/>
              </w:rPr>
              <w:t>employees</w:t>
            </w:r>
            <w:proofErr w:type="spellEnd"/>
          </w:p>
        </w:tc>
        <w:tc>
          <w:tcPr>
            <w:tcW w:w="2098" w:type="dxa"/>
            <w:gridSpan w:val="2"/>
            <w:shd w:val="clear" w:color="auto" w:fill="00B0F0"/>
          </w:tcPr>
          <w:p w14:paraId="4956F8FD" w14:textId="670CA2B9" w:rsidR="003C522C" w:rsidRPr="00E63CD6" w:rsidRDefault="003C522C" w:rsidP="00E63CD6">
            <w:pPr>
              <w:tabs>
                <w:tab w:val="left" w:pos="709"/>
              </w:tabs>
              <w:spacing w:before="0"/>
              <w:jc w:val="center"/>
              <w:rPr>
                <w:b/>
                <w:bCs/>
                <w:sz w:val="22"/>
                <w:szCs w:val="22"/>
              </w:rPr>
            </w:pPr>
            <w:proofErr w:type="spellStart"/>
            <w:r w:rsidRPr="00E63CD6">
              <w:rPr>
                <w:b/>
                <w:bCs/>
                <w:sz w:val="22"/>
                <w:szCs w:val="22"/>
              </w:rPr>
              <w:t>Utili</w:t>
            </w:r>
            <w:r w:rsidR="00A55CB8">
              <w:rPr>
                <w:b/>
                <w:bCs/>
                <w:sz w:val="22"/>
                <w:szCs w:val="22"/>
              </w:rPr>
              <w:t>z</w:t>
            </w:r>
            <w:r w:rsidRPr="00E63CD6">
              <w:rPr>
                <w:b/>
                <w:bCs/>
                <w:sz w:val="22"/>
                <w:szCs w:val="22"/>
              </w:rPr>
              <w:t>ation</w:t>
            </w:r>
            <w:proofErr w:type="spellEnd"/>
            <w:r w:rsidRPr="00E63CD6">
              <w:rPr>
                <w:b/>
                <w:bCs/>
                <w:sz w:val="22"/>
                <w:szCs w:val="22"/>
              </w:rPr>
              <w:t xml:space="preserve"> </w:t>
            </w:r>
            <w:proofErr w:type="spellStart"/>
            <w:r w:rsidRPr="00E63CD6">
              <w:rPr>
                <w:b/>
                <w:bCs/>
                <w:sz w:val="22"/>
                <w:szCs w:val="22"/>
              </w:rPr>
              <w:t>of</w:t>
            </w:r>
            <w:proofErr w:type="spellEnd"/>
            <w:r w:rsidRPr="00E63CD6">
              <w:rPr>
                <w:b/>
                <w:bCs/>
                <w:sz w:val="22"/>
                <w:szCs w:val="22"/>
              </w:rPr>
              <w:t xml:space="preserve"> parental </w:t>
            </w:r>
            <w:proofErr w:type="spellStart"/>
            <w:r w:rsidRPr="00E63CD6">
              <w:rPr>
                <w:b/>
                <w:bCs/>
                <w:sz w:val="22"/>
                <w:szCs w:val="22"/>
              </w:rPr>
              <w:t>leave</w:t>
            </w:r>
            <w:proofErr w:type="spellEnd"/>
          </w:p>
        </w:tc>
        <w:tc>
          <w:tcPr>
            <w:tcW w:w="1753" w:type="dxa"/>
            <w:gridSpan w:val="2"/>
            <w:shd w:val="clear" w:color="auto" w:fill="00B0F0"/>
          </w:tcPr>
          <w:p w14:paraId="289ADDB3" w14:textId="060D2EA7" w:rsidR="003C522C" w:rsidRPr="00E63CD6" w:rsidRDefault="003C522C" w:rsidP="00E63CD6">
            <w:pPr>
              <w:tabs>
                <w:tab w:val="left" w:pos="709"/>
              </w:tabs>
              <w:spacing w:before="0"/>
              <w:jc w:val="center"/>
              <w:rPr>
                <w:b/>
                <w:bCs/>
                <w:sz w:val="22"/>
                <w:szCs w:val="22"/>
              </w:rPr>
            </w:pPr>
            <w:proofErr w:type="spellStart"/>
            <w:r w:rsidRPr="00E63CD6">
              <w:rPr>
                <w:b/>
                <w:bCs/>
                <w:sz w:val="22"/>
                <w:szCs w:val="22"/>
              </w:rPr>
              <w:t>Actual</w:t>
            </w:r>
            <w:proofErr w:type="spellEnd"/>
            <w:r w:rsidR="00E63CD6" w:rsidRPr="00E63CD6">
              <w:rPr>
                <w:b/>
                <w:bCs/>
                <w:sz w:val="22"/>
                <w:szCs w:val="22"/>
              </w:rPr>
              <w:t xml:space="preserve"> </w:t>
            </w:r>
            <w:r w:rsidRPr="00E63CD6">
              <w:rPr>
                <w:b/>
                <w:bCs/>
                <w:sz w:val="22"/>
                <w:szCs w:val="22"/>
              </w:rPr>
              <w:t xml:space="preserve">part-time </w:t>
            </w:r>
            <w:proofErr w:type="spellStart"/>
            <w:r w:rsidRPr="00E63CD6">
              <w:rPr>
                <w:b/>
                <w:bCs/>
                <w:sz w:val="22"/>
                <w:szCs w:val="22"/>
              </w:rPr>
              <w:t>work</w:t>
            </w:r>
            <w:proofErr w:type="spellEnd"/>
          </w:p>
        </w:tc>
        <w:tc>
          <w:tcPr>
            <w:tcW w:w="1926" w:type="dxa"/>
            <w:gridSpan w:val="2"/>
            <w:shd w:val="clear" w:color="auto" w:fill="00B0F0"/>
          </w:tcPr>
          <w:p w14:paraId="5837E30F" w14:textId="77777777" w:rsidR="003C522C" w:rsidRPr="00E63CD6" w:rsidRDefault="003C522C" w:rsidP="00E63CD6">
            <w:pPr>
              <w:tabs>
                <w:tab w:val="left" w:pos="709"/>
              </w:tabs>
              <w:spacing w:before="0"/>
              <w:jc w:val="center"/>
              <w:rPr>
                <w:b/>
                <w:bCs/>
                <w:sz w:val="22"/>
                <w:szCs w:val="22"/>
              </w:rPr>
            </w:pPr>
            <w:proofErr w:type="spellStart"/>
            <w:r w:rsidRPr="00E63CD6">
              <w:rPr>
                <w:b/>
                <w:bCs/>
                <w:sz w:val="22"/>
                <w:szCs w:val="22"/>
              </w:rPr>
              <w:t>Involuntary</w:t>
            </w:r>
            <w:proofErr w:type="spellEnd"/>
            <w:r w:rsidRPr="00E63CD6">
              <w:rPr>
                <w:b/>
                <w:bCs/>
                <w:sz w:val="22"/>
                <w:szCs w:val="22"/>
              </w:rPr>
              <w:t xml:space="preserve"> part-time </w:t>
            </w:r>
            <w:proofErr w:type="spellStart"/>
            <w:r w:rsidRPr="00E63CD6">
              <w:rPr>
                <w:b/>
                <w:bCs/>
                <w:sz w:val="22"/>
                <w:szCs w:val="22"/>
              </w:rPr>
              <w:t>work</w:t>
            </w:r>
            <w:proofErr w:type="spellEnd"/>
          </w:p>
        </w:tc>
      </w:tr>
      <w:tr w:rsidR="003C522C" w14:paraId="29FEE8CD" w14:textId="77777777" w:rsidTr="004972FD">
        <w:tc>
          <w:tcPr>
            <w:tcW w:w="962" w:type="dxa"/>
          </w:tcPr>
          <w:p w14:paraId="11E1ABA0" w14:textId="77777777" w:rsidR="003C522C" w:rsidRPr="002F7DBE" w:rsidRDefault="003C522C" w:rsidP="004972FD">
            <w:pPr>
              <w:tabs>
                <w:tab w:val="left" w:pos="709"/>
              </w:tabs>
              <w:spacing w:before="0"/>
              <w:jc w:val="both"/>
              <w:rPr>
                <w:sz w:val="16"/>
                <w:szCs w:val="16"/>
              </w:rPr>
            </w:pPr>
            <w:proofErr w:type="spellStart"/>
            <w:r w:rsidRPr="002F7DBE">
              <w:rPr>
                <w:sz w:val="16"/>
                <w:szCs w:val="16"/>
              </w:rPr>
              <w:t>Number</w:t>
            </w:r>
            <w:proofErr w:type="spellEnd"/>
            <w:r w:rsidRPr="002F7DBE">
              <w:rPr>
                <w:sz w:val="16"/>
                <w:szCs w:val="16"/>
              </w:rPr>
              <w:t xml:space="preserve"> </w:t>
            </w:r>
            <w:proofErr w:type="spellStart"/>
            <w:r w:rsidRPr="002F7DBE">
              <w:rPr>
                <w:sz w:val="16"/>
                <w:szCs w:val="16"/>
              </w:rPr>
              <w:t>of</w:t>
            </w:r>
            <w:proofErr w:type="spellEnd"/>
            <w:r w:rsidRPr="002F7DBE">
              <w:rPr>
                <w:sz w:val="16"/>
                <w:szCs w:val="16"/>
              </w:rPr>
              <w:t xml:space="preserve"> </w:t>
            </w:r>
            <w:proofErr w:type="spellStart"/>
            <w:r w:rsidRPr="002F7DBE">
              <w:rPr>
                <w:sz w:val="16"/>
                <w:szCs w:val="16"/>
              </w:rPr>
              <w:t>women</w:t>
            </w:r>
            <w:proofErr w:type="spellEnd"/>
          </w:p>
        </w:tc>
        <w:tc>
          <w:tcPr>
            <w:tcW w:w="963" w:type="dxa"/>
          </w:tcPr>
          <w:p w14:paraId="1981D632" w14:textId="77777777" w:rsidR="003C522C" w:rsidRPr="002F7DBE" w:rsidRDefault="003C522C" w:rsidP="004972FD">
            <w:pPr>
              <w:tabs>
                <w:tab w:val="left" w:pos="709"/>
              </w:tabs>
              <w:spacing w:before="0"/>
              <w:jc w:val="both"/>
              <w:rPr>
                <w:sz w:val="16"/>
                <w:szCs w:val="16"/>
              </w:rPr>
            </w:pPr>
            <w:proofErr w:type="spellStart"/>
            <w:r w:rsidRPr="002F7DBE">
              <w:rPr>
                <w:sz w:val="16"/>
                <w:szCs w:val="16"/>
              </w:rPr>
              <w:t>Number</w:t>
            </w:r>
            <w:proofErr w:type="spellEnd"/>
            <w:r w:rsidRPr="002F7DBE">
              <w:rPr>
                <w:sz w:val="16"/>
                <w:szCs w:val="16"/>
              </w:rPr>
              <w:t xml:space="preserve"> </w:t>
            </w:r>
            <w:proofErr w:type="spellStart"/>
            <w:r w:rsidRPr="002F7DBE">
              <w:rPr>
                <w:sz w:val="16"/>
                <w:szCs w:val="16"/>
              </w:rPr>
              <w:t>of</w:t>
            </w:r>
            <w:proofErr w:type="spellEnd"/>
            <w:r w:rsidRPr="002F7DBE">
              <w:rPr>
                <w:sz w:val="16"/>
                <w:szCs w:val="16"/>
              </w:rPr>
              <w:t xml:space="preserve"> men</w:t>
            </w:r>
          </w:p>
        </w:tc>
        <w:tc>
          <w:tcPr>
            <w:tcW w:w="963" w:type="dxa"/>
          </w:tcPr>
          <w:p w14:paraId="2502F111" w14:textId="77777777" w:rsidR="003C522C" w:rsidRPr="002F7DBE" w:rsidRDefault="003C522C" w:rsidP="004972FD">
            <w:pPr>
              <w:tabs>
                <w:tab w:val="left" w:pos="709"/>
              </w:tabs>
              <w:spacing w:before="0"/>
              <w:jc w:val="both"/>
              <w:rPr>
                <w:sz w:val="16"/>
                <w:szCs w:val="16"/>
              </w:rPr>
            </w:pPr>
            <w:proofErr w:type="spellStart"/>
            <w:r w:rsidRPr="002F7DBE">
              <w:rPr>
                <w:rFonts w:ascii="Calibri" w:eastAsia="Times New Roman" w:hAnsi="Calibri" w:cs="Calibri"/>
                <w:sz w:val="16"/>
                <w:szCs w:val="16"/>
                <w:lang w:eastAsia="nb-NO"/>
              </w:rPr>
              <w:t>Temporary</w:t>
            </w:r>
            <w:proofErr w:type="spellEnd"/>
            <w:r w:rsidRPr="002F7DBE">
              <w:rPr>
                <w:rFonts w:ascii="Calibri" w:eastAsia="Times New Roman" w:hAnsi="Calibri" w:cs="Calibri"/>
                <w:sz w:val="16"/>
                <w:szCs w:val="16"/>
                <w:lang w:eastAsia="nb-NO"/>
              </w:rPr>
              <w:t xml:space="preserve"> </w:t>
            </w:r>
            <w:proofErr w:type="spellStart"/>
            <w:r w:rsidRPr="002F7DBE">
              <w:rPr>
                <w:rFonts w:ascii="Calibri" w:eastAsia="Times New Roman" w:hAnsi="Calibri" w:cs="Calibri"/>
                <w:sz w:val="16"/>
                <w:szCs w:val="16"/>
                <w:lang w:eastAsia="nb-NO"/>
              </w:rPr>
              <w:t>employees</w:t>
            </w:r>
            <w:proofErr w:type="spellEnd"/>
            <w:r w:rsidRPr="002F7DBE">
              <w:rPr>
                <w:rFonts w:ascii="Calibri" w:eastAsia="Times New Roman" w:hAnsi="Calibri" w:cs="Calibri"/>
                <w:sz w:val="16"/>
                <w:szCs w:val="16"/>
                <w:lang w:eastAsia="nb-NO"/>
              </w:rPr>
              <w:t xml:space="preserve"> </w:t>
            </w:r>
            <w:proofErr w:type="spellStart"/>
            <w:r w:rsidRPr="002F7DBE">
              <w:rPr>
                <w:rFonts w:ascii="Calibri" w:eastAsia="Times New Roman" w:hAnsi="Calibri" w:cs="Calibri"/>
                <w:sz w:val="16"/>
                <w:szCs w:val="16"/>
                <w:lang w:eastAsia="nb-NO"/>
              </w:rPr>
              <w:t>women</w:t>
            </w:r>
            <w:proofErr w:type="spellEnd"/>
          </w:p>
        </w:tc>
        <w:tc>
          <w:tcPr>
            <w:tcW w:w="963" w:type="dxa"/>
          </w:tcPr>
          <w:p w14:paraId="7CE6D5CA" w14:textId="77777777" w:rsidR="003C522C" w:rsidRPr="002F7DBE" w:rsidRDefault="003C522C" w:rsidP="004972FD">
            <w:pPr>
              <w:tabs>
                <w:tab w:val="left" w:pos="709"/>
              </w:tabs>
              <w:spacing w:before="0"/>
              <w:jc w:val="both"/>
              <w:rPr>
                <w:sz w:val="16"/>
                <w:szCs w:val="16"/>
              </w:rPr>
            </w:pPr>
            <w:proofErr w:type="spellStart"/>
            <w:r w:rsidRPr="002F7DBE">
              <w:rPr>
                <w:rFonts w:ascii="Calibri" w:eastAsia="Times New Roman" w:hAnsi="Calibri" w:cs="Calibri"/>
                <w:sz w:val="16"/>
                <w:szCs w:val="16"/>
                <w:lang w:eastAsia="nb-NO"/>
              </w:rPr>
              <w:t>Temporary</w:t>
            </w:r>
            <w:proofErr w:type="spellEnd"/>
            <w:r w:rsidRPr="002F7DBE">
              <w:rPr>
                <w:rFonts w:ascii="Calibri" w:eastAsia="Times New Roman" w:hAnsi="Calibri" w:cs="Calibri"/>
                <w:sz w:val="16"/>
                <w:szCs w:val="16"/>
                <w:lang w:eastAsia="nb-NO"/>
              </w:rPr>
              <w:t xml:space="preserve"> </w:t>
            </w:r>
            <w:proofErr w:type="spellStart"/>
            <w:r w:rsidRPr="002F7DBE">
              <w:rPr>
                <w:rFonts w:ascii="Calibri" w:eastAsia="Times New Roman" w:hAnsi="Calibri" w:cs="Calibri"/>
                <w:sz w:val="16"/>
                <w:szCs w:val="16"/>
                <w:lang w:eastAsia="nb-NO"/>
              </w:rPr>
              <w:t>employees</w:t>
            </w:r>
            <w:proofErr w:type="spellEnd"/>
            <w:r w:rsidRPr="002F7DBE">
              <w:rPr>
                <w:rFonts w:ascii="Calibri" w:eastAsia="Times New Roman" w:hAnsi="Calibri" w:cs="Calibri"/>
                <w:sz w:val="16"/>
                <w:szCs w:val="16"/>
                <w:lang w:eastAsia="nb-NO"/>
              </w:rPr>
              <w:t xml:space="preserve"> men</w:t>
            </w:r>
          </w:p>
        </w:tc>
        <w:tc>
          <w:tcPr>
            <w:tcW w:w="1106" w:type="dxa"/>
          </w:tcPr>
          <w:p w14:paraId="3EA4A490" w14:textId="1BFD562F" w:rsidR="003C522C" w:rsidRPr="002F7DBE" w:rsidRDefault="003C522C" w:rsidP="004972FD">
            <w:pPr>
              <w:tabs>
                <w:tab w:val="left" w:pos="709"/>
              </w:tabs>
              <w:spacing w:before="0"/>
              <w:jc w:val="both"/>
              <w:rPr>
                <w:sz w:val="16"/>
                <w:szCs w:val="16"/>
                <w:lang w:val="en-US"/>
              </w:rPr>
            </w:pPr>
            <w:r w:rsidRPr="002F7DBE">
              <w:rPr>
                <w:rFonts w:ascii="Calibri" w:eastAsia="Times New Roman" w:hAnsi="Calibri" w:cs="Calibri"/>
                <w:sz w:val="16"/>
                <w:szCs w:val="16"/>
                <w:lang w:val="en-US" w:eastAsia="nb-NO"/>
              </w:rPr>
              <w:t>Women's utili</w:t>
            </w:r>
            <w:r w:rsidR="00A55CB8" w:rsidRPr="002F7DBE">
              <w:rPr>
                <w:rFonts w:ascii="Calibri" w:eastAsia="Times New Roman" w:hAnsi="Calibri" w:cs="Calibri"/>
                <w:sz w:val="16"/>
                <w:szCs w:val="16"/>
                <w:lang w:val="en-US" w:eastAsia="nb-NO"/>
              </w:rPr>
              <w:t>z</w:t>
            </w:r>
            <w:r w:rsidRPr="002F7DBE">
              <w:rPr>
                <w:rFonts w:ascii="Calibri" w:eastAsia="Times New Roman" w:hAnsi="Calibri" w:cs="Calibri"/>
                <w:sz w:val="16"/>
                <w:szCs w:val="16"/>
                <w:lang w:val="en-US" w:eastAsia="nb-NO"/>
              </w:rPr>
              <w:t>ation of parental leave*</w:t>
            </w:r>
          </w:p>
        </w:tc>
        <w:tc>
          <w:tcPr>
            <w:tcW w:w="992" w:type="dxa"/>
          </w:tcPr>
          <w:p w14:paraId="4D49FDA8" w14:textId="2249B0F8" w:rsidR="003C522C" w:rsidRPr="002F7DBE" w:rsidRDefault="003C522C" w:rsidP="004972FD">
            <w:pPr>
              <w:tabs>
                <w:tab w:val="left" w:pos="709"/>
              </w:tabs>
              <w:spacing w:before="0"/>
              <w:jc w:val="both"/>
              <w:rPr>
                <w:sz w:val="16"/>
                <w:szCs w:val="16"/>
                <w:lang w:val="en-US"/>
              </w:rPr>
            </w:pPr>
            <w:r w:rsidRPr="002F7DBE">
              <w:rPr>
                <w:rFonts w:ascii="Calibri" w:eastAsia="Times New Roman" w:hAnsi="Calibri" w:cs="Calibri"/>
                <w:sz w:val="16"/>
                <w:szCs w:val="16"/>
                <w:lang w:val="en-US" w:eastAsia="nb-NO"/>
              </w:rPr>
              <w:t>Men's utili</w:t>
            </w:r>
            <w:r w:rsidR="00A55CB8" w:rsidRPr="002F7DBE">
              <w:rPr>
                <w:rFonts w:ascii="Calibri" w:eastAsia="Times New Roman" w:hAnsi="Calibri" w:cs="Calibri"/>
                <w:sz w:val="16"/>
                <w:szCs w:val="16"/>
                <w:lang w:val="en-US" w:eastAsia="nb-NO"/>
              </w:rPr>
              <w:t>z</w:t>
            </w:r>
            <w:r w:rsidRPr="002F7DBE">
              <w:rPr>
                <w:rFonts w:ascii="Calibri" w:eastAsia="Times New Roman" w:hAnsi="Calibri" w:cs="Calibri"/>
                <w:sz w:val="16"/>
                <w:szCs w:val="16"/>
                <w:lang w:val="en-US" w:eastAsia="nb-NO"/>
              </w:rPr>
              <w:t>ation of parental leave*</w:t>
            </w:r>
          </w:p>
        </w:tc>
        <w:tc>
          <w:tcPr>
            <w:tcW w:w="790" w:type="dxa"/>
          </w:tcPr>
          <w:p w14:paraId="2A94EB9A" w14:textId="77777777" w:rsidR="003C522C" w:rsidRPr="002F7DBE" w:rsidRDefault="003C522C" w:rsidP="004972FD">
            <w:pPr>
              <w:tabs>
                <w:tab w:val="left" w:pos="709"/>
              </w:tabs>
              <w:spacing w:before="0"/>
              <w:jc w:val="both"/>
              <w:rPr>
                <w:sz w:val="16"/>
                <w:szCs w:val="16"/>
              </w:rPr>
            </w:pPr>
            <w:r w:rsidRPr="002F7DBE">
              <w:rPr>
                <w:rFonts w:ascii="Calibri" w:eastAsia="Times New Roman" w:hAnsi="Calibri" w:cs="Calibri"/>
                <w:sz w:val="16"/>
                <w:szCs w:val="16"/>
                <w:lang w:eastAsia="nb-NO"/>
              </w:rPr>
              <w:t xml:space="preserve">Part-time </w:t>
            </w:r>
            <w:proofErr w:type="spellStart"/>
            <w:r w:rsidRPr="002F7DBE">
              <w:rPr>
                <w:rFonts w:ascii="Calibri" w:eastAsia="Times New Roman" w:hAnsi="Calibri" w:cs="Calibri"/>
                <w:sz w:val="16"/>
                <w:szCs w:val="16"/>
                <w:lang w:eastAsia="nb-NO"/>
              </w:rPr>
              <w:t>women</w:t>
            </w:r>
            <w:proofErr w:type="spellEnd"/>
          </w:p>
        </w:tc>
        <w:tc>
          <w:tcPr>
            <w:tcW w:w="963" w:type="dxa"/>
          </w:tcPr>
          <w:p w14:paraId="2E1F370E" w14:textId="77777777" w:rsidR="003C522C" w:rsidRPr="002F7DBE" w:rsidRDefault="003C522C" w:rsidP="004972FD">
            <w:pPr>
              <w:tabs>
                <w:tab w:val="left" w:pos="709"/>
              </w:tabs>
              <w:spacing w:before="0"/>
              <w:jc w:val="both"/>
              <w:rPr>
                <w:sz w:val="16"/>
                <w:szCs w:val="16"/>
              </w:rPr>
            </w:pPr>
            <w:r w:rsidRPr="002F7DBE">
              <w:rPr>
                <w:rFonts w:ascii="Calibri" w:eastAsia="Times New Roman" w:hAnsi="Calibri" w:cs="Calibri"/>
                <w:sz w:val="16"/>
                <w:szCs w:val="16"/>
                <w:lang w:eastAsia="nb-NO"/>
              </w:rPr>
              <w:t>Part-time men</w:t>
            </w:r>
          </w:p>
        </w:tc>
        <w:tc>
          <w:tcPr>
            <w:tcW w:w="963" w:type="dxa"/>
          </w:tcPr>
          <w:p w14:paraId="7E8FF231" w14:textId="77777777" w:rsidR="003C522C" w:rsidRPr="002F7DBE" w:rsidRDefault="003C522C" w:rsidP="004972FD">
            <w:pPr>
              <w:tabs>
                <w:tab w:val="left" w:pos="709"/>
              </w:tabs>
              <w:spacing w:before="0"/>
              <w:jc w:val="both"/>
              <w:rPr>
                <w:sz w:val="16"/>
                <w:szCs w:val="16"/>
              </w:rPr>
            </w:pPr>
            <w:proofErr w:type="spellStart"/>
            <w:r w:rsidRPr="002F7DBE">
              <w:rPr>
                <w:rFonts w:ascii="Calibri" w:eastAsia="Times New Roman" w:hAnsi="Calibri" w:cs="Calibri"/>
                <w:sz w:val="16"/>
                <w:szCs w:val="16"/>
                <w:lang w:eastAsia="nb-NO"/>
              </w:rPr>
              <w:t>Involuntary</w:t>
            </w:r>
            <w:proofErr w:type="spellEnd"/>
            <w:r w:rsidRPr="002F7DBE">
              <w:rPr>
                <w:rFonts w:ascii="Calibri" w:eastAsia="Times New Roman" w:hAnsi="Calibri" w:cs="Calibri"/>
                <w:sz w:val="16"/>
                <w:szCs w:val="16"/>
                <w:lang w:eastAsia="nb-NO"/>
              </w:rPr>
              <w:t xml:space="preserve"> part-time </w:t>
            </w:r>
            <w:proofErr w:type="spellStart"/>
            <w:r w:rsidRPr="002F7DBE">
              <w:rPr>
                <w:rFonts w:ascii="Calibri" w:eastAsia="Times New Roman" w:hAnsi="Calibri" w:cs="Calibri"/>
                <w:sz w:val="16"/>
                <w:szCs w:val="16"/>
                <w:lang w:eastAsia="nb-NO"/>
              </w:rPr>
              <w:t>women</w:t>
            </w:r>
            <w:proofErr w:type="spellEnd"/>
          </w:p>
        </w:tc>
        <w:tc>
          <w:tcPr>
            <w:tcW w:w="963" w:type="dxa"/>
          </w:tcPr>
          <w:p w14:paraId="734B4765" w14:textId="77777777" w:rsidR="003C522C" w:rsidRPr="002F7DBE" w:rsidRDefault="003C522C" w:rsidP="004972FD">
            <w:pPr>
              <w:tabs>
                <w:tab w:val="left" w:pos="709"/>
              </w:tabs>
              <w:spacing w:before="0"/>
              <w:jc w:val="both"/>
              <w:rPr>
                <w:sz w:val="16"/>
                <w:szCs w:val="16"/>
              </w:rPr>
            </w:pPr>
            <w:proofErr w:type="spellStart"/>
            <w:r w:rsidRPr="002F7DBE">
              <w:rPr>
                <w:rFonts w:ascii="Calibri" w:eastAsia="Times New Roman" w:hAnsi="Calibri" w:cs="Calibri"/>
                <w:sz w:val="16"/>
                <w:szCs w:val="16"/>
                <w:lang w:eastAsia="nb-NO"/>
              </w:rPr>
              <w:t>Involuntary</w:t>
            </w:r>
            <w:proofErr w:type="spellEnd"/>
            <w:r w:rsidRPr="002F7DBE">
              <w:rPr>
                <w:rFonts w:ascii="Calibri" w:eastAsia="Times New Roman" w:hAnsi="Calibri" w:cs="Calibri"/>
                <w:sz w:val="16"/>
                <w:szCs w:val="16"/>
                <w:lang w:eastAsia="nb-NO"/>
              </w:rPr>
              <w:t xml:space="preserve"> part-time men</w:t>
            </w:r>
          </w:p>
        </w:tc>
      </w:tr>
      <w:tr w:rsidR="003C522C" w14:paraId="31AFA3E2" w14:textId="77777777" w:rsidTr="004972FD">
        <w:tc>
          <w:tcPr>
            <w:tcW w:w="962" w:type="dxa"/>
            <w:vAlign w:val="bottom"/>
          </w:tcPr>
          <w:p w14:paraId="3335C4BC" w14:textId="77777777" w:rsidR="003C522C" w:rsidRDefault="003C522C" w:rsidP="004972FD">
            <w:pPr>
              <w:tabs>
                <w:tab w:val="left" w:pos="709"/>
              </w:tabs>
              <w:spacing w:before="0"/>
              <w:jc w:val="both"/>
              <w:rPr>
                <w:szCs w:val="24"/>
              </w:rPr>
            </w:pPr>
            <w:r>
              <w:rPr>
                <w:rFonts w:ascii="Calibri" w:eastAsia="Times New Roman" w:hAnsi="Calibri" w:cs="Calibri"/>
                <w:sz w:val="22"/>
                <w:szCs w:val="22"/>
                <w:lang w:eastAsia="nb-NO"/>
              </w:rPr>
              <w:t>306</w:t>
            </w:r>
          </w:p>
        </w:tc>
        <w:tc>
          <w:tcPr>
            <w:tcW w:w="963" w:type="dxa"/>
            <w:vAlign w:val="bottom"/>
          </w:tcPr>
          <w:p w14:paraId="30C925FB" w14:textId="77777777" w:rsidR="003C522C" w:rsidRDefault="003C522C" w:rsidP="004972FD">
            <w:pPr>
              <w:tabs>
                <w:tab w:val="left" w:pos="709"/>
              </w:tabs>
              <w:spacing w:before="0"/>
              <w:jc w:val="both"/>
              <w:rPr>
                <w:szCs w:val="24"/>
              </w:rPr>
            </w:pPr>
            <w:r>
              <w:rPr>
                <w:szCs w:val="24"/>
              </w:rPr>
              <w:t>1543</w:t>
            </w:r>
          </w:p>
        </w:tc>
        <w:tc>
          <w:tcPr>
            <w:tcW w:w="963" w:type="dxa"/>
            <w:vAlign w:val="bottom"/>
          </w:tcPr>
          <w:p w14:paraId="2FC2E52D" w14:textId="77777777" w:rsidR="003C522C" w:rsidRDefault="003C522C" w:rsidP="004972FD">
            <w:pPr>
              <w:tabs>
                <w:tab w:val="left" w:pos="709"/>
              </w:tabs>
              <w:spacing w:before="0"/>
              <w:jc w:val="both"/>
              <w:rPr>
                <w:szCs w:val="24"/>
              </w:rPr>
            </w:pPr>
            <w:r>
              <w:rPr>
                <w:szCs w:val="24"/>
              </w:rPr>
              <w:t>17</w:t>
            </w:r>
          </w:p>
        </w:tc>
        <w:tc>
          <w:tcPr>
            <w:tcW w:w="963" w:type="dxa"/>
            <w:vAlign w:val="bottom"/>
          </w:tcPr>
          <w:p w14:paraId="62DEC4C4" w14:textId="77777777" w:rsidR="003C522C" w:rsidRDefault="003C522C" w:rsidP="004972FD">
            <w:pPr>
              <w:tabs>
                <w:tab w:val="left" w:pos="709"/>
              </w:tabs>
              <w:spacing w:before="0"/>
              <w:jc w:val="both"/>
              <w:rPr>
                <w:szCs w:val="24"/>
              </w:rPr>
            </w:pPr>
            <w:r>
              <w:rPr>
                <w:rFonts w:ascii="Calibri" w:eastAsia="Times New Roman" w:hAnsi="Calibri" w:cs="Calibri"/>
                <w:sz w:val="22"/>
                <w:szCs w:val="22"/>
                <w:lang w:eastAsia="nb-NO"/>
              </w:rPr>
              <w:t>78</w:t>
            </w:r>
          </w:p>
        </w:tc>
        <w:tc>
          <w:tcPr>
            <w:tcW w:w="1106" w:type="dxa"/>
            <w:vAlign w:val="bottom"/>
          </w:tcPr>
          <w:p w14:paraId="172F6FBE" w14:textId="77777777" w:rsidR="003C522C" w:rsidRDefault="003C522C" w:rsidP="004972FD">
            <w:pPr>
              <w:tabs>
                <w:tab w:val="left" w:pos="709"/>
              </w:tabs>
              <w:spacing w:before="0"/>
              <w:jc w:val="both"/>
              <w:rPr>
                <w:szCs w:val="24"/>
              </w:rPr>
            </w:pPr>
            <w:r>
              <w:rPr>
                <w:szCs w:val="24"/>
              </w:rPr>
              <w:t>25</w:t>
            </w:r>
          </w:p>
        </w:tc>
        <w:tc>
          <w:tcPr>
            <w:tcW w:w="992" w:type="dxa"/>
            <w:vAlign w:val="bottom"/>
          </w:tcPr>
          <w:p w14:paraId="11DE8C04" w14:textId="77777777" w:rsidR="003C522C" w:rsidRDefault="003C522C" w:rsidP="004972FD">
            <w:pPr>
              <w:tabs>
                <w:tab w:val="left" w:pos="709"/>
              </w:tabs>
              <w:spacing w:before="0"/>
              <w:jc w:val="both"/>
              <w:rPr>
                <w:szCs w:val="24"/>
              </w:rPr>
            </w:pPr>
            <w:r>
              <w:rPr>
                <w:szCs w:val="24"/>
              </w:rPr>
              <w:t>9</w:t>
            </w:r>
          </w:p>
        </w:tc>
        <w:tc>
          <w:tcPr>
            <w:tcW w:w="790" w:type="dxa"/>
            <w:vAlign w:val="bottom"/>
          </w:tcPr>
          <w:p w14:paraId="21AE2D94" w14:textId="77777777" w:rsidR="003C522C" w:rsidRDefault="003C522C" w:rsidP="004972FD">
            <w:pPr>
              <w:tabs>
                <w:tab w:val="left" w:pos="709"/>
              </w:tabs>
              <w:spacing w:before="0"/>
              <w:jc w:val="both"/>
              <w:rPr>
                <w:szCs w:val="24"/>
              </w:rPr>
            </w:pPr>
            <w:r>
              <w:rPr>
                <w:rFonts w:ascii="Calibri" w:eastAsia="Times New Roman" w:hAnsi="Calibri" w:cs="Calibri"/>
                <w:sz w:val="22"/>
                <w:szCs w:val="22"/>
                <w:lang w:eastAsia="nb-NO"/>
              </w:rPr>
              <w:t>20</w:t>
            </w:r>
          </w:p>
        </w:tc>
        <w:tc>
          <w:tcPr>
            <w:tcW w:w="963" w:type="dxa"/>
            <w:vAlign w:val="bottom"/>
          </w:tcPr>
          <w:p w14:paraId="32173C1E" w14:textId="77777777" w:rsidR="003C522C" w:rsidRDefault="003C522C" w:rsidP="004972FD">
            <w:pPr>
              <w:tabs>
                <w:tab w:val="left" w:pos="709"/>
              </w:tabs>
              <w:spacing w:before="0"/>
              <w:jc w:val="both"/>
              <w:rPr>
                <w:szCs w:val="24"/>
              </w:rPr>
            </w:pPr>
            <w:r>
              <w:rPr>
                <w:rFonts w:ascii="Calibri" w:eastAsia="Times New Roman" w:hAnsi="Calibri" w:cs="Calibri"/>
                <w:sz w:val="22"/>
                <w:szCs w:val="22"/>
                <w:lang w:eastAsia="nb-NO"/>
              </w:rPr>
              <w:t>65</w:t>
            </w:r>
          </w:p>
        </w:tc>
        <w:tc>
          <w:tcPr>
            <w:tcW w:w="963" w:type="dxa"/>
            <w:vAlign w:val="bottom"/>
          </w:tcPr>
          <w:p w14:paraId="406A0AF6" w14:textId="77777777" w:rsidR="003C522C" w:rsidRDefault="003C522C" w:rsidP="004972FD">
            <w:pPr>
              <w:tabs>
                <w:tab w:val="left" w:pos="709"/>
              </w:tabs>
              <w:spacing w:before="0"/>
              <w:jc w:val="both"/>
              <w:rPr>
                <w:szCs w:val="24"/>
              </w:rPr>
            </w:pPr>
            <w:r>
              <w:rPr>
                <w:szCs w:val="24"/>
              </w:rPr>
              <w:t>-</w:t>
            </w:r>
          </w:p>
        </w:tc>
        <w:tc>
          <w:tcPr>
            <w:tcW w:w="963" w:type="dxa"/>
            <w:vAlign w:val="bottom"/>
          </w:tcPr>
          <w:p w14:paraId="3F3364D2" w14:textId="77777777" w:rsidR="003C522C" w:rsidRDefault="003C522C" w:rsidP="004972FD">
            <w:pPr>
              <w:tabs>
                <w:tab w:val="left" w:pos="709"/>
              </w:tabs>
              <w:spacing w:before="0"/>
              <w:jc w:val="both"/>
              <w:rPr>
                <w:szCs w:val="24"/>
              </w:rPr>
            </w:pPr>
            <w:r>
              <w:rPr>
                <w:szCs w:val="24"/>
              </w:rPr>
              <w:t>-</w:t>
            </w:r>
          </w:p>
        </w:tc>
      </w:tr>
      <w:tr w:rsidR="003C522C" w14:paraId="7DBDEB53" w14:textId="77777777" w:rsidTr="004972FD">
        <w:tc>
          <w:tcPr>
            <w:tcW w:w="1925" w:type="dxa"/>
            <w:gridSpan w:val="2"/>
            <w:vAlign w:val="bottom"/>
          </w:tcPr>
          <w:p w14:paraId="3A2ED58A" w14:textId="77777777" w:rsidR="003C522C" w:rsidRDefault="003C522C" w:rsidP="004972FD">
            <w:pPr>
              <w:tabs>
                <w:tab w:val="left" w:pos="709"/>
              </w:tabs>
              <w:spacing w:before="0"/>
              <w:jc w:val="both"/>
              <w:rPr>
                <w:rFonts w:ascii="Calibri" w:eastAsia="Times New Roman" w:hAnsi="Calibri" w:cs="Calibri"/>
                <w:sz w:val="22"/>
                <w:szCs w:val="22"/>
                <w:lang w:eastAsia="nb-NO"/>
              </w:rPr>
            </w:pPr>
          </w:p>
          <w:p w14:paraId="31C2F111"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Total 1849</w:t>
            </w:r>
          </w:p>
        </w:tc>
        <w:tc>
          <w:tcPr>
            <w:tcW w:w="1926" w:type="dxa"/>
            <w:gridSpan w:val="2"/>
            <w:vAlign w:val="bottom"/>
          </w:tcPr>
          <w:p w14:paraId="1EA6DC2A"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Total 95</w:t>
            </w:r>
          </w:p>
        </w:tc>
        <w:tc>
          <w:tcPr>
            <w:tcW w:w="1106" w:type="dxa"/>
            <w:vAlign w:val="bottom"/>
          </w:tcPr>
          <w:p w14:paraId="0258F993"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20</w:t>
            </w:r>
          </w:p>
        </w:tc>
        <w:tc>
          <w:tcPr>
            <w:tcW w:w="992" w:type="dxa"/>
            <w:vAlign w:val="bottom"/>
          </w:tcPr>
          <w:p w14:paraId="2A6B265D"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73</w:t>
            </w:r>
          </w:p>
        </w:tc>
        <w:tc>
          <w:tcPr>
            <w:tcW w:w="790" w:type="dxa"/>
            <w:vAlign w:val="bottom"/>
          </w:tcPr>
          <w:p w14:paraId="6BAB8CD6" w14:textId="77777777" w:rsidR="003C522C" w:rsidRDefault="003C522C" w:rsidP="004972FD">
            <w:pPr>
              <w:tabs>
                <w:tab w:val="left" w:pos="709"/>
              </w:tabs>
              <w:spacing w:before="0"/>
              <w:jc w:val="both"/>
              <w:rPr>
                <w:rFonts w:ascii="Calibri" w:eastAsia="Times New Roman" w:hAnsi="Calibri" w:cs="Calibri"/>
                <w:sz w:val="22"/>
                <w:szCs w:val="22"/>
                <w:lang w:eastAsia="nb-NO"/>
              </w:rPr>
            </w:pPr>
            <w:r>
              <w:rPr>
                <w:rFonts w:ascii="Calibri" w:eastAsia="Times New Roman" w:hAnsi="Calibri" w:cs="Calibri"/>
                <w:sz w:val="22"/>
                <w:szCs w:val="22"/>
                <w:lang w:eastAsia="nb-NO"/>
              </w:rPr>
              <w:t>85</w:t>
            </w:r>
          </w:p>
        </w:tc>
        <w:tc>
          <w:tcPr>
            <w:tcW w:w="963" w:type="dxa"/>
            <w:vAlign w:val="bottom"/>
          </w:tcPr>
          <w:p w14:paraId="2F46D06D" w14:textId="77777777" w:rsidR="003C522C" w:rsidRPr="009D152D" w:rsidRDefault="003C522C" w:rsidP="004972FD">
            <w:pPr>
              <w:tabs>
                <w:tab w:val="left" w:pos="709"/>
              </w:tabs>
              <w:spacing w:before="0"/>
              <w:jc w:val="both"/>
              <w:rPr>
                <w:rFonts w:ascii="Calibri" w:eastAsia="Times New Roman" w:hAnsi="Calibri" w:cs="Calibri"/>
                <w:sz w:val="22"/>
                <w:szCs w:val="22"/>
                <w:lang w:eastAsia="nb-NO"/>
              </w:rPr>
            </w:pPr>
          </w:p>
        </w:tc>
        <w:tc>
          <w:tcPr>
            <w:tcW w:w="963" w:type="dxa"/>
            <w:vAlign w:val="bottom"/>
          </w:tcPr>
          <w:p w14:paraId="4AB6A19D" w14:textId="77777777" w:rsidR="003C522C" w:rsidRPr="009D152D" w:rsidRDefault="003C522C" w:rsidP="004972FD">
            <w:pPr>
              <w:tabs>
                <w:tab w:val="left" w:pos="709"/>
              </w:tabs>
              <w:spacing w:before="0"/>
              <w:jc w:val="both"/>
              <w:rPr>
                <w:rFonts w:ascii="Calibri" w:eastAsia="Times New Roman" w:hAnsi="Calibri" w:cs="Calibri"/>
                <w:sz w:val="22"/>
                <w:szCs w:val="22"/>
                <w:lang w:eastAsia="nb-NO"/>
              </w:rPr>
            </w:pPr>
          </w:p>
        </w:tc>
        <w:tc>
          <w:tcPr>
            <w:tcW w:w="963" w:type="dxa"/>
            <w:vAlign w:val="bottom"/>
          </w:tcPr>
          <w:p w14:paraId="5B62F0D4" w14:textId="77777777" w:rsidR="003C522C" w:rsidRPr="009D152D" w:rsidRDefault="003C522C" w:rsidP="004972FD">
            <w:pPr>
              <w:tabs>
                <w:tab w:val="left" w:pos="709"/>
              </w:tabs>
              <w:spacing w:before="0"/>
              <w:jc w:val="both"/>
              <w:rPr>
                <w:rFonts w:ascii="Calibri" w:eastAsia="Times New Roman" w:hAnsi="Calibri" w:cs="Calibri"/>
                <w:sz w:val="22"/>
                <w:szCs w:val="22"/>
                <w:lang w:eastAsia="nb-NO"/>
              </w:rPr>
            </w:pPr>
          </w:p>
        </w:tc>
      </w:tr>
    </w:tbl>
    <w:p w14:paraId="79F9C815" w14:textId="77777777" w:rsidR="003C522C" w:rsidRPr="0083578C" w:rsidRDefault="003C522C" w:rsidP="003C522C">
      <w:pPr>
        <w:tabs>
          <w:tab w:val="left" w:pos="709"/>
        </w:tabs>
        <w:spacing w:before="0"/>
        <w:jc w:val="both"/>
        <w:rPr>
          <w:color w:val="6D6E71"/>
          <w:szCs w:val="24"/>
        </w:rPr>
      </w:pPr>
    </w:p>
    <w:p w14:paraId="7E7DD46C" w14:textId="77777777" w:rsidR="003C522C" w:rsidRPr="003C522C" w:rsidRDefault="003C522C" w:rsidP="003C522C">
      <w:pPr>
        <w:tabs>
          <w:tab w:val="left" w:pos="709"/>
        </w:tabs>
        <w:spacing w:before="0"/>
        <w:ind w:left="709"/>
        <w:jc w:val="both"/>
        <w:rPr>
          <w:i/>
          <w:iCs/>
          <w:lang w:val="en-US"/>
        </w:rPr>
      </w:pPr>
      <w:r w:rsidRPr="003C522C">
        <w:rPr>
          <w:i/>
          <w:iCs/>
          <w:lang w:val="en-US"/>
        </w:rPr>
        <w:t xml:space="preserve">Table 1 - Gender balance in NG Group in Norway as of 31 December 2023 </w:t>
      </w:r>
      <w:r w:rsidRPr="003C522C">
        <w:rPr>
          <w:color w:val="6D6E71"/>
          <w:szCs w:val="24"/>
          <w:lang w:val="en-US"/>
        </w:rPr>
        <w:t>*average number of weeks</w:t>
      </w:r>
    </w:p>
    <w:p w14:paraId="3C4B2ABF" w14:textId="77777777" w:rsidR="003C522C" w:rsidRPr="003C522C" w:rsidRDefault="003C522C" w:rsidP="003C522C">
      <w:pPr>
        <w:tabs>
          <w:tab w:val="left" w:pos="709"/>
        </w:tabs>
        <w:spacing w:before="0"/>
        <w:jc w:val="both"/>
        <w:rPr>
          <w:color w:val="6D6E71"/>
          <w:szCs w:val="24"/>
          <w:lang w:val="en-US"/>
        </w:rPr>
      </w:pPr>
    </w:p>
    <w:p w14:paraId="2AB3B070" w14:textId="77777777" w:rsidR="003C522C" w:rsidRPr="003C522C" w:rsidRDefault="003C522C" w:rsidP="003C522C">
      <w:pPr>
        <w:pStyle w:val="Overskrift4"/>
        <w:jc w:val="both"/>
        <w:rPr>
          <w:lang w:val="en-US"/>
        </w:rPr>
      </w:pPr>
      <w:r w:rsidRPr="003C522C">
        <w:rPr>
          <w:lang w:val="en-US"/>
        </w:rPr>
        <w:t>Gender balance</w:t>
      </w:r>
    </w:p>
    <w:p w14:paraId="4A84845D" w14:textId="77777777" w:rsidR="003C522C" w:rsidRPr="003C522C" w:rsidRDefault="003C522C" w:rsidP="003C522C">
      <w:pPr>
        <w:spacing w:before="0"/>
        <w:jc w:val="both"/>
        <w:rPr>
          <w:color w:val="auto"/>
          <w:lang w:val="en-US"/>
        </w:rPr>
      </w:pPr>
      <w:r w:rsidRPr="003C522C">
        <w:rPr>
          <w:color w:val="auto"/>
          <w:lang w:val="en-US"/>
        </w:rPr>
        <w:t xml:space="preserve">As of 31 December 2023, NG Group had 306 female employees in the Group's Norwegian companies. This represents 17 per cent of all employees in these companies. </w:t>
      </w:r>
      <w:r w:rsidRPr="3EF605AE">
        <w:rPr>
          <w:rStyle w:val="Fotnotereferanse"/>
          <w:color w:val="auto"/>
        </w:rPr>
        <w:footnoteReference w:id="2"/>
      </w:r>
    </w:p>
    <w:p w14:paraId="58D6CF28" w14:textId="77777777" w:rsidR="003C522C" w:rsidRPr="003C522C" w:rsidRDefault="003C522C" w:rsidP="003C522C">
      <w:pPr>
        <w:spacing w:before="0"/>
        <w:jc w:val="both"/>
        <w:rPr>
          <w:color w:val="auto"/>
          <w:lang w:val="en-US"/>
        </w:rPr>
      </w:pPr>
    </w:p>
    <w:p w14:paraId="43D61689" w14:textId="0F319FBC" w:rsidR="003C522C" w:rsidRPr="003C522C" w:rsidRDefault="003C522C" w:rsidP="003C522C">
      <w:pPr>
        <w:spacing w:before="0"/>
        <w:jc w:val="both"/>
        <w:rPr>
          <w:color w:val="auto"/>
          <w:lang w:val="en-US"/>
        </w:rPr>
      </w:pPr>
      <w:r w:rsidRPr="003C522C">
        <w:rPr>
          <w:color w:val="auto"/>
          <w:lang w:val="en-US"/>
        </w:rPr>
        <w:t xml:space="preserve">As </w:t>
      </w:r>
      <w:r w:rsidR="0072040C">
        <w:rPr>
          <w:color w:val="auto"/>
          <w:lang w:val="en-US"/>
        </w:rPr>
        <w:t>of</w:t>
      </w:r>
      <w:r w:rsidRPr="003C522C">
        <w:rPr>
          <w:color w:val="auto"/>
          <w:lang w:val="en-US"/>
        </w:rPr>
        <w:t xml:space="preserve"> 31 December 2023, four women were represented on the Group's Board of Directors. Group management consisted of seven men and one woman throughout 2023. At the beginning of 2024, two new women were appointed to the Group management team.</w:t>
      </w:r>
    </w:p>
    <w:p w14:paraId="072B59EB" w14:textId="77777777" w:rsidR="003C522C" w:rsidRPr="003C522C" w:rsidRDefault="003C522C" w:rsidP="003C522C">
      <w:pPr>
        <w:spacing w:before="0"/>
        <w:jc w:val="both"/>
        <w:rPr>
          <w:color w:val="auto"/>
          <w:szCs w:val="24"/>
          <w:lang w:val="en-US"/>
        </w:rPr>
      </w:pPr>
    </w:p>
    <w:p w14:paraId="25253F2D" w14:textId="77777777" w:rsidR="003C522C" w:rsidRPr="003C522C" w:rsidRDefault="003C522C" w:rsidP="003C522C">
      <w:pPr>
        <w:pStyle w:val="Overskrift4"/>
        <w:jc w:val="both"/>
        <w:rPr>
          <w:lang w:val="en-US"/>
        </w:rPr>
      </w:pPr>
      <w:r w:rsidRPr="003C522C">
        <w:rPr>
          <w:lang w:val="en-US"/>
        </w:rPr>
        <w:t>Temporary employees</w:t>
      </w:r>
    </w:p>
    <w:p w14:paraId="20F55AAC" w14:textId="77777777" w:rsidR="003C522C" w:rsidRPr="003C522C" w:rsidRDefault="003C522C" w:rsidP="003C522C">
      <w:pPr>
        <w:spacing w:before="0"/>
        <w:contextualSpacing/>
        <w:jc w:val="both"/>
        <w:rPr>
          <w:color w:val="auto"/>
          <w:szCs w:val="24"/>
          <w:lang w:val="en-US"/>
        </w:rPr>
      </w:pPr>
      <w:r w:rsidRPr="003C522C">
        <w:rPr>
          <w:color w:val="auto"/>
          <w:szCs w:val="24"/>
          <w:lang w:val="en-US"/>
        </w:rPr>
        <w:t>In 2023, the companies in Norway had a total of 95 temporary employees, of which 17 were women, representing 18 per cent of temporary employees.</w:t>
      </w:r>
    </w:p>
    <w:p w14:paraId="7FA42A3C" w14:textId="77777777" w:rsidR="003C522C" w:rsidRPr="003C522C" w:rsidRDefault="003C522C" w:rsidP="003C522C">
      <w:pPr>
        <w:spacing w:before="0"/>
        <w:contextualSpacing/>
        <w:jc w:val="both"/>
        <w:rPr>
          <w:b/>
          <w:bCs/>
          <w:color w:val="auto"/>
          <w:szCs w:val="24"/>
          <w:lang w:val="en-US"/>
        </w:rPr>
      </w:pPr>
    </w:p>
    <w:p w14:paraId="57F53103" w14:textId="77777777" w:rsidR="003C522C" w:rsidRPr="003C522C" w:rsidRDefault="003C522C" w:rsidP="003C522C">
      <w:pPr>
        <w:pStyle w:val="Overskrift4"/>
        <w:jc w:val="both"/>
        <w:rPr>
          <w:lang w:val="en-US"/>
        </w:rPr>
      </w:pPr>
      <w:r w:rsidRPr="003C522C">
        <w:rPr>
          <w:lang w:val="en-US"/>
        </w:rPr>
        <w:lastRenderedPageBreak/>
        <w:t>Parental leave</w:t>
      </w:r>
    </w:p>
    <w:p w14:paraId="74662B9C" w14:textId="747AF510" w:rsidR="003C522C" w:rsidRPr="003C522C" w:rsidRDefault="003C522C" w:rsidP="003C522C">
      <w:pPr>
        <w:spacing w:before="0"/>
        <w:contextualSpacing/>
        <w:jc w:val="both"/>
        <w:rPr>
          <w:color w:val="auto"/>
          <w:lang w:val="en-US"/>
        </w:rPr>
      </w:pPr>
      <w:r w:rsidRPr="003C522C">
        <w:rPr>
          <w:color w:val="auto"/>
          <w:lang w:val="en-US"/>
        </w:rPr>
        <w:t>The average number of weeks of parental leave in 2023 was 14</w:t>
      </w:r>
      <w:r w:rsidR="00A24D3C">
        <w:rPr>
          <w:color w:val="auto"/>
          <w:lang w:val="en-US"/>
        </w:rPr>
        <w:t>,</w:t>
      </w:r>
      <w:r w:rsidRPr="003C522C">
        <w:rPr>
          <w:color w:val="auto"/>
          <w:lang w:val="en-US"/>
        </w:rPr>
        <w:t xml:space="preserve">1 weeks in total for women and men. For women, the average number of weeks is 27.9, while for men the average number of weeks was 9.8. This is in line with the rest of society, where women take most of the parental leave. For men specifically, it is lower than what one would expect based on the paternity quota and given that there are far more men than women employed. </w:t>
      </w:r>
    </w:p>
    <w:p w14:paraId="0EA3F29D" w14:textId="77777777" w:rsidR="003C522C" w:rsidRPr="003C522C" w:rsidRDefault="003C522C" w:rsidP="003C522C">
      <w:pPr>
        <w:spacing w:before="0"/>
        <w:contextualSpacing/>
        <w:jc w:val="both"/>
        <w:rPr>
          <w:color w:val="auto"/>
          <w:szCs w:val="24"/>
          <w:lang w:val="en-US"/>
        </w:rPr>
      </w:pPr>
    </w:p>
    <w:p w14:paraId="429F3D16" w14:textId="5D1022D4" w:rsidR="003C522C" w:rsidRPr="003C522C" w:rsidRDefault="003C522C" w:rsidP="003C522C">
      <w:pPr>
        <w:spacing w:before="0"/>
        <w:contextualSpacing/>
        <w:jc w:val="both"/>
        <w:rPr>
          <w:color w:val="7BA88B" w:themeColor="accent1" w:themeShade="BF"/>
          <w:lang w:val="en-US"/>
        </w:rPr>
      </w:pPr>
      <w:r w:rsidRPr="003C522C">
        <w:rPr>
          <w:color w:val="auto"/>
          <w:lang w:val="en-US"/>
        </w:rPr>
        <w:t>It can be noted that there w</w:t>
      </w:r>
      <w:r w:rsidR="0072040C">
        <w:rPr>
          <w:color w:val="auto"/>
          <w:lang w:val="en-US"/>
        </w:rPr>
        <w:t>as</w:t>
      </w:r>
      <w:r w:rsidRPr="003C522C">
        <w:rPr>
          <w:color w:val="auto"/>
          <w:lang w:val="en-US"/>
        </w:rPr>
        <w:t xml:space="preserve"> a total of 20 women (compared to 11 in 2022) who took leave in 2023. </w:t>
      </w:r>
      <w:proofErr w:type="gramStart"/>
      <w:r w:rsidRPr="003C522C">
        <w:rPr>
          <w:color w:val="auto"/>
          <w:lang w:val="en-US"/>
        </w:rPr>
        <w:t>The majority of</w:t>
      </w:r>
      <w:proofErr w:type="gramEnd"/>
      <w:r w:rsidRPr="003C522C">
        <w:rPr>
          <w:color w:val="auto"/>
          <w:lang w:val="en-US"/>
        </w:rPr>
        <w:t xml:space="preserve"> women who took leave had between 20-42 weeks of leave. </w:t>
      </w:r>
    </w:p>
    <w:p w14:paraId="71F75CD7" w14:textId="77777777" w:rsidR="003C522C" w:rsidRPr="003C522C" w:rsidRDefault="003C522C" w:rsidP="003C522C">
      <w:pPr>
        <w:spacing w:before="0"/>
        <w:contextualSpacing/>
        <w:jc w:val="both"/>
        <w:rPr>
          <w:rFonts w:asciiTheme="majorHAnsi" w:eastAsiaTheme="majorEastAsia" w:hAnsiTheme="majorHAnsi" w:cstheme="majorBidi"/>
          <w:i/>
          <w:iCs/>
          <w:color w:val="7BA88B" w:themeColor="accent1" w:themeShade="BF"/>
          <w:lang w:val="en-US"/>
        </w:rPr>
      </w:pPr>
    </w:p>
    <w:p w14:paraId="39B19ADE" w14:textId="77777777" w:rsidR="003C522C" w:rsidRPr="003C522C" w:rsidRDefault="003C522C" w:rsidP="003C522C">
      <w:pPr>
        <w:spacing w:before="0"/>
        <w:contextualSpacing/>
        <w:jc w:val="both"/>
        <w:rPr>
          <w:rFonts w:asciiTheme="majorHAnsi" w:eastAsiaTheme="majorEastAsia" w:hAnsiTheme="majorHAnsi" w:cstheme="majorBidi"/>
          <w:i/>
          <w:iCs/>
          <w:color w:val="7BA88B" w:themeColor="accent1" w:themeShade="BF"/>
          <w:lang w:val="en-US"/>
        </w:rPr>
      </w:pPr>
      <w:r w:rsidRPr="003C522C">
        <w:rPr>
          <w:rFonts w:asciiTheme="majorHAnsi" w:eastAsiaTheme="majorEastAsia" w:hAnsiTheme="majorHAnsi" w:cstheme="majorBidi"/>
          <w:i/>
          <w:iCs/>
          <w:color w:val="7BA88B" w:themeColor="accent1" w:themeShade="BF"/>
          <w:lang w:val="en-US"/>
        </w:rPr>
        <w:t>Part-time employees</w:t>
      </w:r>
    </w:p>
    <w:p w14:paraId="6D8F0CBD" w14:textId="77777777" w:rsidR="003C522C" w:rsidRPr="003C522C" w:rsidRDefault="003C522C" w:rsidP="003C522C">
      <w:pPr>
        <w:spacing w:before="0"/>
        <w:contextualSpacing/>
        <w:jc w:val="both"/>
        <w:rPr>
          <w:color w:val="auto"/>
          <w:lang w:val="en-US"/>
        </w:rPr>
      </w:pPr>
      <w:r w:rsidRPr="003C522C">
        <w:rPr>
          <w:rFonts w:asciiTheme="majorHAnsi" w:hAnsiTheme="majorHAnsi"/>
          <w:color w:val="auto"/>
          <w:lang w:val="en-US"/>
        </w:rPr>
        <w:t xml:space="preserve">The Group mostly advertises and hires only 100 per cent positions and therefore has few employees in part-time positions. </w:t>
      </w:r>
      <w:r w:rsidRPr="003C522C">
        <w:rPr>
          <w:color w:val="auto"/>
          <w:lang w:val="en-US"/>
        </w:rPr>
        <w:t>In 2023, the Group's operations in Norway had 85 part-time employees out of a total of 1,849 employees, 20 of whom were women. These 20 women accounted for 24 per cent of all part-time employees.</w:t>
      </w:r>
    </w:p>
    <w:p w14:paraId="23E8A38D" w14:textId="77777777" w:rsidR="003C522C" w:rsidRPr="003C522C" w:rsidRDefault="003C522C" w:rsidP="003C522C">
      <w:pPr>
        <w:spacing w:before="0"/>
        <w:contextualSpacing/>
        <w:jc w:val="both"/>
        <w:rPr>
          <w:color w:val="auto"/>
          <w:lang w:val="en-US"/>
        </w:rPr>
      </w:pPr>
    </w:p>
    <w:p w14:paraId="2ED7197D" w14:textId="77777777" w:rsidR="003C522C" w:rsidRPr="003C522C" w:rsidRDefault="003C522C" w:rsidP="003C522C">
      <w:pPr>
        <w:spacing w:before="0"/>
        <w:contextualSpacing/>
        <w:jc w:val="both"/>
        <w:rPr>
          <w:rFonts w:asciiTheme="majorHAnsi" w:hAnsiTheme="majorHAnsi"/>
          <w:color w:val="auto"/>
          <w:szCs w:val="24"/>
          <w:lang w:val="en-US"/>
        </w:rPr>
      </w:pPr>
      <w:r w:rsidRPr="003C522C">
        <w:rPr>
          <w:rFonts w:asciiTheme="majorHAnsi" w:hAnsiTheme="majorHAnsi"/>
          <w:color w:val="auto"/>
          <w:szCs w:val="24"/>
          <w:lang w:val="en-US"/>
        </w:rPr>
        <w:t xml:space="preserve">Part-time work is an opportunity to </w:t>
      </w:r>
      <w:proofErr w:type="gramStart"/>
      <w:r w:rsidRPr="003C522C">
        <w:rPr>
          <w:rFonts w:asciiTheme="majorHAnsi" w:hAnsiTheme="majorHAnsi"/>
          <w:color w:val="auto"/>
          <w:szCs w:val="24"/>
          <w:lang w:val="en-US"/>
        </w:rPr>
        <w:t>make adjustments</w:t>
      </w:r>
      <w:proofErr w:type="gramEnd"/>
      <w:r w:rsidRPr="003C522C">
        <w:rPr>
          <w:rFonts w:asciiTheme="majorHAnsi" w:hAnsiTheme="majorHAnsi"/>
          <w:color w:val="auto"/>
          <w:szCs w:val="24"/>
          <w:lang w:val="en-US"/>
        </w:rPr>
        <w:t xml:space="preserve"> related to life circumstances, for example if there is a need for reduced working hours in connection with returning to work after a long-term illness or in order to make a busy working day go smoothly. Some of the Group's part-time employees are temporary employees, but many of them are also students. The Group has </w:t>
      </w:r>
      <w:proofErr w:type="gramStart"/>
      <w:r w:rsidRPr="003C522C">
        <w:rPr>
          <w:rFonts w:asciiTheme="majorHAnsi" w:hAnsiTheme="majorHAnsi"/>
          <w:color w:val="auto"/>
          <w:szCs w:val="24"/>
          <w:lang w:val="en-US"/>
        </w:rPr>
        <w:t>looked into</w:t>
      </w:r>
      <w:proofErr w:type="gramEnd"/>
      <w:r w:rsidRPr="003C522C">
        <w:rPr>
          <w:rFonts w:asciiTheme="majorHAnsi" w:hAnsiTheme="majorHAnsi"/>
          <w:color w:val="auto"/>
          <w:szCs w:val="24"/>
          <w:lang w:val="en-US"/>
        </w:rPr>
        <w:t xml:space="preserve"> the issue and does not consider part-time work to be involuntary for employees.</w:t>
      </w:r>
    </w:p>
    <w:p w14:paraId="0CF98BE8" w14:textId="77777777" w:rsidR="003C522C" w:rsidRPr="003C522C" w:rsidRDefault="003C522C" w:rsidP="003C522C">
      <w:pPr>
        <w:spacing w:before="0"/>
        <w:contextualSpacing/>
        <w:jc w:val="both"/>
        <w:rPr>
          <w:rFonts w:asciiTheme="majorHAnsi" w:hAnsiTheme="majorHAnsi"/>
          <w:color w:val="auto"/>
          <w:szCs w:val="24"/>
          <w:lang w:val="en-US"/>
        </w:rPr>
      </w:pPr>
    </w:p>
    <w:p w14:paraId="5C78FF4C" w14:textId="77777777" w:rsidR="003C522C" w:rsidRPr="003C522C" w:rsidRDefault="003C522C" w:rsidP="003C522C">
      <w:pPr>
        <w:pStyle w:val="Overskrift3"/>
        <w:jc w:val="both"/>
        <w:rPr>
          <w:lang w:val="en-US"/>
        </w:rPr>
      </w:pPr>
      <w:r w:rsidRPr="003C522C">
        <w:rPr>
          <w:lang w:val="en-US"/>
        </w:rPr>
        <w:t xml:space="preserve">Job categories in NG Group </w:t>
      </w:r>
    </w:p>
    <w:p w14:paraId="28E6F368" w14:textId="3CE790CA" w:rsidR="003C522C" w:rsidRPr="003C522C" w:rsidRDefault="003C522C" w:rsidP="003C522C">
      <w:pPr>
        <w:jc w:val="both"/>
        <w:rPr>
          <w:lang w:val="en-US"/>
        </w:rPr>
      </w:pPr>
      <w:r w:rsidRPr="003C522C">
        <w:rPr>
          <w:lang w:val="en-US"/>
        </w:rPr>
        <w:t>Job roles are not standardi</w:t>
      </w:r>
      <w:r w:rsidR="00A24D3C">
        <w:rPr>
          <w:lang w:val="en-US"/>
        </w:rPr>
        <w:t>z</w:t>
      </w:r>
      <w:r w:rsidRPr="003C522C">
        <w:rPr>
          <w:lang w:val="en-US"/>
        </w:rPr>
        <w:t xml:space="preserve">ed in the Group's companies, but all positions are grouped into the following categories: </w:t>
      </w:r>
    </w:p>
    <w:p w14:paraId="3F14ACBB" w14:textId="77777777" w:rsidR="003C522C" w:rsidRDefault="003C522C" w:rsidP="003C522C">
      <w:pPr>
        <w:pStyle w:val="Listeavsnitt"/>
        <w:numPr>
          <w:ilvl w:val="0"/>
          <w:numId w:val="31"/>
        </w:numPr>
        <w:jc w:val="both"/>
      </w:pPr>
      <w:r>
        <w:t>Group management</w:t>
      </w:r>
    </w:p>
    <w:p w14:paraId="17335482" w14:textId="13DEF8E5" w:rsidR="003C522C" w:rsidRDefault="003C522C" w:rsidP="003C522C">
      <w:pPr>
        <w:pStyle w:val="Listeavsnitt"/>
        <w:numPr>
          <w:ilvl w:val="0"/>
          <w:numId w:val="31"/>
        </w:numPr>
        <w:jc w:val="both"/>
      </w:pPr>
      <w:r>
        <w:t xml:space="preserve">Manager </w:t>
      </w:r>
      <w:proofErr w:type="spellStart"/>
      <w:r>
        <w:t>with</w:t>
      </w:r>
      <w:proofErr w:type="spellEnd"/>
      <w:r>
        <w:t xml:space="preserve"> </w:t>
      </w:r>
      <w:proofErr w:type="spellStart"/>
      <w:r>
        <w:t>personne</w:t>
      </w:r>
      <w:r w:rsidR="00A24D3C">
        <w:t>l</w:t>
      </w:r>
      <w:proofErr w:type="spellEnd"/>
      <w:r>
        <w:t xml:space="preserve"> </w:t>
      </w:r>
      <w:proofErr w:type="spellStart"/>
      <w:r>
        <w:t>responsibility</w:t>
      </w:r>
      <w:proofErr w:type="spellEnd"/>
    </w:p>
    <w:p w14:paraId="273DB926" w14:textId="766546E9" w:rsidR="003C522C" w:rsidRPr="004A58D2" w:rsidRDefault="003C522C" w:rsidP="003C522C">
      <w:pPr>
        <w:pStyle w:val="Listeavsnitt"/>
        <w:numPr>
          <w:ilvl w:val="0"/>
          <w:numId w:val="31"/>
        </w:numPr>
        <w:jc w:val="both"/>
        <w:rPr>
          <w:lang w:val="en-US"/>
        </w:rPr>
      </w:pPr>
      <w:r w:rsidRPr="004A58D2">
        <w:rPr>
          <w:lang w:val="en-US"/>
        </w:rPr>
        <w:t xml:space="preserve">Manager with personnel responsibility </w:t>
      </w:r>
      <w:r w:rsidR="00015DA4" w:rsidRPr="004A58D2">
        <w:rPr>
          <w:lang w:val="en-US"/>
        </w:rPr>
        <w:t xml:space="preserve">- </w:t>
      </w:r>
      <w:r w:rsidRPr="004A58D2">
        <w:rPr>
          <w:lang w:val="en-US"/>
        </w:rPr>
        <w:t>operational</w:t>
      </w:r>
    </w:p>
    <w:p w14:paraId="05F4A9F2" w14:textId="77777777" w:rsidR="003C522C" w:rsidRDefault="003C522C" w:rsidP="003C522C">
      <w:pPr>
        <w:pStyle w:val="Listeavsnitt"/>
        <w:numPr>
          <w:ilvl w:val="0"/>
          <w:numId w:val="31"/>
        </w:numPr>
        <w:jc w:val="both"/>
      </w:pPr>
      <w:proofErr w:type="spellStart"/>
      <w:r>
        <w:t>Specialist</w:t>
      </w:r>
      <w:proofErr w:type="spellEnd"/>
      <w:r>
        <w:t xml:space="preserve"> </w:t>
      </w:r>
      <w:proofErr w:type="spellStart"/>
      <w:r>
        <w:t>position</w:t>
      </w:r>
      <w:proofErr w:type="spellEnd"/>
    </w:p>
    <w:p w14:paraId="162852CD" w14:textId="77777777" w:rsidR="003C522C" w:rsidRDefault="003C522C" w:rsidP="003C522C">
      <w:pPr>
        <w:pStyle w:val="Listeavsnitt"/>
        <w:numPr>
          <w:ilvl w:val="0"/>
          <w:numId w:val="31"/>
        </w:numPr>
        <w:jc w:val="both"/>
      </w:pPr>
      <w:proofErr w:type="spellStart"/>
      <w:r>
        <w:t>Functionary</w:t>
      </w:r>
      <w:proofErr w:type="spellEnd"/>
    </w:p>
    <w:p w14:paraId="23FD4A8E" w14:textId="77777777" w:rsidR="003C522C" w:rsidRDefault="003C522C" w:rsidP="003C522C">
      <w:pPr>
        <w:pStyle w:val="Listeavsnitt"/>
        <w:numPr>
          <w:ilvl w:val="0"/>
          <w:numId w:val="31"/>
        </w:numPr>
        <w:jc w:val="both"/>
      </w:pPr>
      <w:r>
        <w:t xml:space="preserve">Sales and </w:t>
      </w:r>
      <w:proofErr w:type="spellStart"/>
      <w:r>
        <w:t>Marketing</w:t>
      </w:r>
      <w:proofErr w:type="spellEnd"/>
    </w:p>
    <w:p w14:paraId="4721F962" w14:textId="77777777" w:rsidR="003C522C" w:rsidRDefault="003C522C" w:rsidP="003C522C">
      <w:pPr>
        <w:pStyle w:val="Listeavsnitt"/>
        <w:numPr>
          <w:ilvl w:val="0"/>
          <w:numId w:val="31"/>
        </w:numPr>
        <w:jc w:val="both"/>
      </w:pPr>
      <w:r>
        <w:t>Operative</w:t>
      </w:r>
    </w:p>
    <w:p w14:paraId="7D690F99" w14:textId="77777777" w:rsidR="003C522C" w:rsidRPr="003C522C" w:rsidRDefault="003C522C" w:rsidP="003C522C">
      <w:pPr>
        <w:jc w:val="both"/>
        <w:rPr>
          <w:lang w:val="en-US"/>
        </w:rPr>
      </w:pPr>
      <w:r w:rsidRPr="003C522C">
        <w:rPr>
          <w:lang w:val="en-US"/>
        </w:rPr>
        <w:t xml:space="preserve">As there is a big difference between the type of tasks in management positions in and outside of operations, managers in operations have been mapped as a separate category. </w:t>
      </w:r>
    </w:p>
    <w:p w14:paraId="4288491B" w14:textId="77777777" w:rsidR="003C522C" w:rsidRPr="003C522C" w:rsidRDefault="003C522C" w:rsidP="003C522C">
      <w:pPr>
        <w:spacing w:before="0" w:after="120" w:line="312" w:lineRule="auto"/>
        <w:jc w:val="both"/>
        <w:rPr>
          <w:lang w:val="en-US"/>
        </w:rPr>
      </w:pPr>
      <w:r w:rsidRPr="003C522C">
        <w:rPr>
          <w:lang w:val="en-US"/>
        </w:rPr>
        <w:br w:type="page"/>
      </w:r>
    </w:p>
    <w:p w14:paraId="016979A3" w14:textId="3128E43B" w:rsidR="003C522C" w:rsidRDefault="003C522C" w:rsidP="003C522C">
      <w:pPr>
        <w:jc w:val="both"/>
        <w:rPr>
          <w:color w:val="auto"/>
        </w:rPr>
      </w:pPr>
      <w:r w:rsidRPr="003C522C">
        <w:rPr>
          <w:color w:val="auto"/>
          <w:lang w:val="en-US"/>
        </w:rPr>
        <w:lastRenderedPageBreak/>
        <w:t xml:space="preserve">The table below shows the gender distribution in a total of seven different job categories in NG Group in Norway. In total, there are 306 women and 1,543 men employed in Norwegian companies in the Group. There are significantly more male (1,094) than female operators (46). This difference thus reduces the proportion of women in the total number of employees.  </w:t>
      </w:r>
      <w:r>
        <w:rPr>
          <w:color w:val="auto"/>
        </w:rPr>
        <w:t xml:space="preserve">The total </w:t>
      </w:r>
      <w:proofErr w:type="spellStart"/>
      <w:r w:rsidR="004A58D2">
        <w:rPr>
          <w:color w:val="auto"/>
        </w:rPr>
        <w:t>share</w:t>
      </w:r>
      <w:proofErr w:type="spellEnd"/>
      <w:r>
        <w:rPr>
          <w:color w:val="auto"/>
        </w:rPr>
        <w:t xml:space="preserve"> </w:t>
      </w:r>
      <w:proofErr w:type="spellStart"/>
      <w:r>
        <w:rPr>
          <w:color w:val="auto"/>
        </w:rPr>
        <w:t>of</w:t>
      </w:r>
      <w:proofErr w:type="spellEnd"/>
      <w:r>
        <w:rPr>
          <w:color w:val="auto"/>
        </w:rPr>
        <w:t xml:space="preserve"> </w:t>
      </w:r>
      <w:proofErr w:type="spellStart"/>
      <w:r>
        <w:rPr>
          <w:color w:val="auto"/>
        </w:rPr>
        <w:t>women</w:t>
      </w:r>
      <w:proofErr w:type="spellEnd"/>
      <w:r>
        <w:rPr>
          <w:color w:val="auto"/>
        </w:rPr>
        <w:t xml:space="preserve"> is 17 per cent.</w:t>
      </w:r>
    </w:p>
    <w:p w14:paraId="466C1A1C" w14:textId="77777777" w:rsidR="003C522C" w:rsidRDefault="003C522C" w:rsidP="003C522C">
      <w:pPr>
        <w:jc w:val="both"/>
        <w:rPr>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843"/>
        <w:gridCol w:w="1984"/>
        <w:gridCol w:w="2268"/>
      </w:tblGrid>
      <w:tr w:rsidR="003C522C" w:rsidRPr="003C522C" w14:paraId="7AFEB4DB" w14:textId="77777777" w:rsidTr="004972FD">
        <w:trPr>
          <w:trHeight w:val="461"/>
        </w:trPr>
        <w:tc>
          <w:tcPr>
            <w:tcW w:w="9067" w:type="dxa"/>
            <w:gridSpan w:val="4"/>
            <w:shd w:val="clear" w:color="auto" w:fill="00B0F0"/>
          </w:tcPr>
          <w:p w14:paraId="3C329158" w14:textId="77777777" w:rsidR="003C522C" w:rsidRPr="003C522C" w:rsidRDefault="003C522C" w:rsidP="004972FD">
            <w:pPr>
              <w:spacing w:before="0"/>
              <w:jc w:val="both"/>
              <w:rPr>
                <w:rFonts w:ascii="Calibri" w:eastAsia="Times New Roman" w:hAnsi="Calibri" w:cs="Calibri"/>
                <w:b/>
                <w:bCs/>
                <w:color w:val="auto"/>
                <w:sz w:val="22"/>
                <w:szCs w:val="22"/>
                <w:lang w:val="en-US" w:eastAsia="nb-NO"/>
              </w:rPr>
            </w:pPr>
            <w:r w:rsidRPr="003C522C">
              <w:rPr>
                <w:b/>
                <w:bCs/>
                <w:lang w:val="en-US"/>
              </w:rPr>
              <w:t>Gender distribution at different job levels/groups as of 31 December 2023</w:t>
            </w:r>
          </w:p>
        </w:tc>
      </w:tr>
      <w:tr w:rsidR="003C522C" w:rsidRPr="00122C96" w14:paraId="3EBA6B13" w14:textId="77777777" w:rsidTr="004972FD">
        <w:trPr>
          <w:trHeight w:val="441"/>
        </w:trPr>
        <w:tc>
          <w:tcPr>
            <w:tcW w:w="2972" w:type="dxa"/>
            <w:shd w:val="clear" w:color="auto" w:fill="00B0F0"/>
            <w:hideMark/>
          </w:tcPr>
          <w:p w14:paraId="186D383C" w14:textId="77777777" w:rsidR="003C522C" w:rsidRDefault="003C522C" w:rsidP="004972FD">
            <w:pPr>
              <w:spacing w:before="0"/>
              <w:jc w:val="both"/>
              <w:rPr>
                <w:rFonts w:ascii="Calibri" w:eastAsia="Times New Roman" w:hAnsi="Calibri" w:cs="Calibri"/>
                <w:b/>
                <w:bCs/>
                <w:color w:val="auto"/>
                <w:sz w:val="22"/>
                <w:szCs w:val="22"/>
                <w:lang w:eastAsia="nb-NO"/>
              </w:rPr>
            </w:pPr>
            <w:r w:rsidRPr="00122C96">
              <w:rPr>
                <w:rFonts w:ascii="Calibri" w:eastAsia="Times New Roman" w:hAnsi="Calibri" w:cs="Calibri"/>
                <w:b/>
                <w:bCs/>
                <w:color w:val="auto"/>
                <w:sz w:val="22"/>
                <w:szCs w:val="22"/>
                <w:lang w:eastAsia="nb-NO"/>
              </w:rPr>
              <w:t xml:space="preserve">Job </w:t>
            </w:r>
            <w:proofErr w:type="spellStart"/>
            <w:r w:rsidRPr="00122C96">
              <w:rPr>
                <w:rFonts w:ascii="Calibri" w:eastAsia="Times New Roman" w:hAnsi="Calibri" w:cs="Calibri"/>
                <w:b/>
                <w:bCs/>
                <w:color w:val="auto"/>
                <w:sz w:val="22"/>
                <w:szCs w:val="22"/>
                <w:lang w:eastAsia="nb-NO"/>
              </w:rPr>
              <w:t>level</w:t>
            </w:r>
            <w:proofErr w:type="spellEnd"/>
            <w:r w:rsidRPr="00122C96">
              <w:rPr>
                <w:rFonts w:ascii="Calibri" w:eastAsia="Times New Roman" w:hAnsi="Calibri" w:cs="Calibri"/>
                <w:b/>
                <w:bCs/>
                <w:color w:val="auto"/>
                <w:sz w:val="22"/>
                <w:szCs w:val="22"/>
                <w:lang w:eastAsia="nb-NO"/>
              </w:rPr>
              <w:t>/</w:t>
            </w:r>
            <w:proofErr w:type="spellStart"/>
            <w:r w:rsidRPr="00122C96">
              <w:rPr>
                <w:rFonts w:ascii="Calibri" w:eastAsia="Times New Roman" w:hAnsi="Calibri" w:cs="Calibri"/>
                <w:b/>
                <w:bCs/>
                <w:color w:val="auto"/>
                <w:sz w:val="22"/>
                <w:szCs w:val="22"/>
                <w:lang w:eastAsia="nb-NO"/>
              </w:rPr>
              <w:t>group</w:t>
            </w:r>
            <w:proofErr w:type="spellEnd"/>
          </w:p>
        </w:tc>
        <w:tc>
          <w:tcPr>
            <w:tcW w:w="1843" w:type="dxa"/>
            <w:shd w:val="clear" w:color="auto" w:fill="auto"/>
            <w:hideMark/>
          </w:tcPr>
          <w:p w14:paraId="3113273F" w14:textId="77777777" w:rsidR="003C522C" w:rsidRDefault="003C522C" w:rsidP="004972FD">
            <w:pPr>
              <w:spacing w:before="0"/>
              <w:jc w:val="both"/>
              <w:rPr>
                <w:rFonts w:ascii="Calibri" w:eastAsia="Times New Roman" w:hAnsi="Calibri" w:cs="Calibri"/>
                <w:b/>
                <w:bCs/>
                <w:color w:val="auto"/>
                <w:sz w:val="22"/>
                <w:szCs w:val="22"/>
                <w:lang w:eastAsia="nb-NO"/>
              </w:rPr>
            </w:pPr>
            <w:proofErr w:type="spellStart"/>
            <w:r w:rsidRPr="00122C96">
              <w:rPr>
                <w:rFonts w:ascii="Calibri" w:eastAsia="Times New Roman" w:hAnsi="Calibri" w:cs="Calibri"/>
                <w:b/>
                <w:bCs/>
                <w:color w:val="auto"/>
                <w:sz w:val="22"/>
                <w:szCs w:val="22"/>
                <w:lang w:eastAsia="nb-NO"/>
              </w:rPr>
              <w:t>Women</w:t>
            </w:r>
            <w:proofErr w:type="spellEnd"/>
            <w:r w:rsidRPr="00122C96">
              <w:rPr>
                <w:rFonts w:ascii="Calibri" w:eastAsia="Times New Roman" w:hAnsi="Calibri" w:cs="Calibri"/>
                <w:b/>
                <w:bCs/>
                <w:color w:val="auto"/>
                <w:sz w:val="22"/>
                <w:szCs w:val="22"/>
                <w:lang w:eastAsia="nb-NO"/>
              </w:rPr>
              <w:t xml:space="preserve"> </w:t>
            </w:r>
            <w:r w:rsidRPr="00380705">
              <w:rPr>
                <w:rFonts w:ascii="Calibri" w:eastAsia="Times New Roman" w:hAnsi="Calibri" w:cs="Calibri"/>
                <w:b/>
                <w:bCs/>
                <w:color w:val="auto"/>
                <w:sz w:val="22"/>
                <w:szCs w:val="22"/>
                <w:lang w:eastAsia="nb-NO"/>
              </w:rPr>
              <w:t>(</w:t>
            </w:r>
            <w:proofErr w:type="spellStart"/>
            <w:r w:rsidRPr="00380705">
              <w:rPr>
                <w:rFonts w:ascii="Calibri" w:eastAsia="Times New Roman" w:hAnsi="Calibri" w:cs="Calibri"/>
                <w:b/>
                <w:bCs/>
                <w:color w:val="auto"/>
                <w:sz w:val="22"/>
                <w:szCs w:val="22"/>
                <w:lang w:eastAsia="nb-NO"/>
              </w:rPr>
              <w:t>number</w:t>
            </w:r>
            <w:proofErr w:type="spellEnd"/>
            <w:r w:rsidRPr="00380705">
              <w:rPr>
                <w:rFonts w:ascii="Calibri" w:eastAsia="Times New Roman" w:hAnsi="Calibri" w:cs="Calibri"/>
                <w:b/>
                <w:bCs/>
                <w:color w:val="auto"/>
                <w:sz w:val="22"/>
                <w:szCs w:val="22"/>
                <w:lang w:eastAsia="nb-NO"/>
              </w:rPr>
              <w:t>)</w:t>
            </w:r>
          </w:p>
        </w:tc>
        <w:tc>
          <w:tcPr>
            <w:tcW w:w="1984" w:type="dxa"/>
            <w:shd w:val="clear" w:color="auto" w:fill="auto"/>
            <w:hideMark/>
          </w:tcPr>
          <w:p w14:paraId="46D5605F" w14:textId="77777777" w:rsidR="003C522C" w:rsidRDefault="003C522C" w:rsidP="004972FD">
            <w:pPr>
              <w:spacing w:before="0"/>
              <w:jc w:val="both"/>
              <w:rPr>
                <w:rFonts w:ascii="Calibri" w:eastAsia="Times New Roman" w:hAnsi="Calibri" w:cs="Calibri"/>
                <w:b/>
                <w:bCs/>
                <w:color w:val="auto"/>
                <w:sz w:val="22"/>
                <w:szCs w:val="22"/>
                <w:lang w:eastAsia="nb-NO"/>
              </w:rPr>
            </w:pPr>
            <w:r w:rsidRPr="00122C96">
              <w:rPr>
                <w:rFonts w:ascii="Calibri" w:eastAsia="Times New Roman" w:hAnsi="Calibri" w:cs="Calibri"/>
                <w:b/>
                <w:bCs/>
                <w:color w:val="auto"/>
                <w:sz w:val="22"/>
                <w:szCs w:val="22"/>
                <w:lang w:eastAsia="nb-NO"/>
              </w:rPr>
              <w:t xml:space="preserve">Men </w:t>
            </w:r>
            <w:r w:rsidRPr="00380705">
              <w:rPr>
                <w:rFonts w:ascii="Calibri" w:eastAsia="Times New Roman" w:hAnsi="Calibri" w:cs="Calibri"/>
                <w:b/>
                <w:bCs/>
                <w:color w:val="auto"/>
                <w:sz w:val="22"/>
                <w:szCs w:val="22"/>
                <w:lang w:eastAsia="nb-NO"/>
              </w:rPr>
              <w:t>(</w:t>
            </w:r>
            <w:proofErr w:type="spellStart"/>
            <w:r w:rsidRPr="00380705">
              <w:rPr>
                <w:rFonts w:ascii="Calibri" w:eastAsia="Times New Roman" w:hAnsi="Calibri" w:cs="Calibri"/>
                <w:b/>
                <w:bCs/>
                <w:color w:val="auto"/>
                <w:sz w:val="22"/>
                <w:szCs w:val="22"/>
                <w:lang w:eastAsia="nb-NO"/>
              </w:rPr>
              <w:t>number</w:t>
            </w:r>
            <w:proofErr w:type="spellEnd"/>
            <w:r w:rsidRPr="00380705">
              <w:rPr>
                <w:rFonts w:ascii="Calibri" w:eastAsia="Times New Roman" w:hAnsi="Calibri" w:cs="Calibri"/>
                <w:b/>
                <w:bCs/>
                <w:color w:val="auto"/>
                <w:sz w:val="22"/>
                <w:szCs w:val="22"/>
                <w:lang w:eastAsia="nb-NO"/>
              </w:rPr>
              <w:t>)</w:t>
            </w:r>
          </w:p>
        </w:tc>
        <w:tc>
          <w:tcPr>
            <w:tcW w:w="2268" w:type="dxa"/>
            <w:shd w:val="clear" w:color="auto" w:fill="auto"/>
            <w:hideMark/>
          </w:tcPr>
          <w:p w14:paraId="02DEF71B" w14:textId="7293736B" w:rsidR="003C522C" w:rsidRDefault="003C522C" w:rsidP="004972FD">
            <w:pPr>
              <w:spacing w:before="0"/>
              <w:jc w:val="both"/>
              <w:rPr>
                <w:rFonts w:ascii="Calibri" w:eastAsia="Times New Roman" w:hAnsi="Calibri" w:cs="Calibri"/>
                <w:b/>
                <w:bCs/>
                <w:color w:val="auto"/>
                <w:sz w:val="22"/>
                <w:szCs w:val="22"/>
                <w:lang w:eastAsia="nb-NO"/>
              </w:rPr>
            </w:pPr>
            <w:proofErr w:type="spellStart"/>
            <w:r w:rsidRPr="00122C96">
              <w:rPr>
                <w:rFonts w:ascii="Calibri" w:eastAsia="Times New Roman" w:hAnsi="Calibri" w:cs="Calibri"/>
                <w:b/>
                <w:bCs/>
                <w:color w:val="auto"/>
                <w:sz w:val="22"/>
                <w:szCs w:val="22"/>
                <w:lang w:eastAsia="nb-NO"/>
              </w:rPr>
              <w:t>Share</w:t>
            </w:r>
            <w:proofErr w:type="spellEnd"/>
            <w:r w:rsidRPr="00122C96">
              <w:rPr>
                <w:rFonts w:ascii="Calibri" w:eastAsia="Times New Roman" w:hAnsi="Calibri" w:cs="Calibri"/>
                <w:b/>
                <w:bCs/>
                <w:color w:val="auto"/>
                <w:sz w:val="22"/>
                <w:szCs w:val="22"/>
                <w:lang w:eastAsia="nb-NO"/>
              </w:rPr>
              <w:t xml:space="preserve"> </w:t>
            </w:r>
            <w:proofErr w:type="spellStart"/>
            <w:r w:rsidRPr="00122C96">
              <w:rPr>
                <w:rFonts w:ascii="Calibri" w:eastAsia="Times New Roman" w:hAnsi="Calibri" w:cs="Calibri"/>
                <w:b/>
                <w:bCs/>
                <w:color w:val="auto"/>
                <w:sz w:val="22"/>
                <w:szCs w:val="22"/>
                <w:lang w:eastAsia="nb-NO"/>
              </w:rPr>
              <w:t>of</w:t>
            </w:r>
            <w:proofErr w:type="spellEnd"/>
            <w:r w:rsidRPr="00122C96">
              <w:rPr>
                <w:rFonts w:ascii="Calibri" w:eastAsia="Times New Roman" w:hAnsi="Calibri" w:cs="Calibri"/>
                <w:b/>
                <w:bCs/>
                <w:color w:val="auto"/>
                <w:sz w:val="22"/>
                <w:szCs w:val="22"/>
                <w:lang w:eastAsia="nb-NO"/>
              </w:rPr>
              <w:t xml:space="preserve"> </w:t>
            </w:r>
            <w:proofErr w:type="spellStart"/>
            <w:r w:rsidRPr="00122C96">
              <w:rPr>
                <w:rFonts w:ascii="Calibri" w:eastAsia="Times New Roman" w:hAnsi="Calibri" w:cs="Calibri"/>
                <w:b/>
                <w:bCs/>
                <w:color w:val="auto"/>
                <w:sz w:val="22"/>
                <w:szCs w:val="22"/>
                <w:lang w:eastAsia="nb-NO"/>
              </w:rPr>
              <w:t>women</w:t>
            </w:r>
            <w:proofErr w:type="spellEnd"/>
            <w:r w:rsidR="004A58D2">
              <w:rPr>
                <w:rFonts w:ascii="Calibri" w:eastAsia="Times New Roman" w:hAnsi="Calibri" w:cs="Calibri"/>
                <w:b/>
                <w:bCs/>
                <w:color w:val="auto"/>
                <w:sz w:val="22"/>
                <w:szCs w:val="22"/>
                <w:lang w:eastAsia="nb-NO"/>
              </w:rPr>
              <w:t xml:space="preserve"> (%)</w:t>
            </w:r>
          </w:p>
        </w:tc>
      </w:tr>
      <w:tr w:rsidR="003C522C" w:rsidRPr="00122C96" w14:paraId="13D7E6D5" w14:textId="77777777" w:rsidTr="004972FD">
        <w:trPr>
          <w:trHeight w:val="408"/>
        </w:trPr>
        <w:tc>
          <w:tcPr>
            <w:tcW w:w="2972" w:type="dxa"/>
            <w:shd w:val="clear" w:color="auto" w:fill="00B0F0"/>
            <w:hideMark/>
          </w:tcPr>
          <w:p w14:paraId="10AA8E73" w14:textId="77777777"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 xml:space="preserve">Manager </w:t>
            </w:r>
            <w:proofErr w:type="spellStart"/>
            <w:r w:rsidRPr="004D38CF">
              <w:rPr>
                <w:rFonts w:ascii="Calibri" w:eastAsia="Times New Roman" w:hAnsi="Calibri" w:cs="Calibri"/>
                <w:color w:val="auto"/>
                <w:sz w:val="22"/>
                <w:szCs w:val="22"/>
                <w:lang w:eastAsia="nb-NO"/>
              </w:rPr>
              <w:t>with</w:t>
            </w:r>
            <w:proofErr w:type="spellEnd"/>
            <w:r w:rsidRPr="004D38CF">
              <w:rPr>
                <w:rFonts w:ascii="Calibri" w:eastAsia="Times New Roman" w:hAnsi="Calibri" w:cs="Calibri"/>
                <w:color w:val="auto"/>
                <w:sz w:val="22"/>
                <w:szCs w:val="22"/>
                <w:lang w:eastAsia="nb-NO"/>
              </w:rPr>
              <w:t xml:space="preserve"> </w:t>
            </w:r>
            <w:proofErr w:type="spellStart"/>
            <w:r w:rsidRPr="004D38CF">
              <w:rPr>
                <w:rFonts w:ascii="Calibri" w:eastAsia="Times New Roman" w:hAnsi="Calibri" w:cs="Calibri"/>
                <w:color w:val="auto"/>
                <w:sz w:val="22"/>
                <w:szCs w:val="22"/>
                <w:lang w:eastAsia="nb-NO"/>
              </w:rPr>
              <w:t>personnel</w:t>
            </w:r>
            <w:proofErr w:type="spellEnd"/>
            <w:r w:rsidRPr="004D38CF">
              <w:rPr>
                <w:rFonts w:ascii="Calibri" w:eastAsia="Times New Roman" w:hAnsi="Calibri" w:cs="Calibri"/>
                <w:color w:val="auto"/>
                <w:sz w:val="22"/>
                <w:szCs w:val="22"/>
                <w:lang w:eastAsia="nb-NO"/>
              </w:rPr>
              <w:t xml:space="preserve"> </w:t>
            </w:r>
            <w:proofErr w:type="spellStart"/>
            <w:r w:rsidRPr="004D38CF">
              <w:rPr>
                <w:rFonts w:ascii="Calibri" w:eastAsia="Times New Roman" w:hAnsi="Calibri" w:cs="Calibri"/>
                <w:color w:val="auto"/>
                <w:sz w:val="22"/>
                <w:szCs w:val="22"/>
                <w:lang w:eastAsia="nb-NO"/>
              </w:rPr>
              <w:t>responsibility</w:t>
            </w:r>
            <w:proofErr w:type="spellEnd"/>
          </w:p>
        </w:tc>
        <w:tc>
          <w:tcPr>
            <w:tcW w:w="1843" w:type="dxa"/>
            <w:shd w:val="clear" w:color="auto" w:fill="auto"/>
            <w:hideMark/>
          </w:tcPr>
          <w:p w14:paraId="7A279463"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32</w:t>
            </w:r>
          </w:p>
        </w:tc>
        <w:tc>
          <w:tcPr>
            <w:tcW w:w="1984" w:type="dxa"/>
            <w:shd w:val="clear" w:color="auto" w:fill="auto"/>
            <w:hideMark/>
          </w:tcPr>
          <w:p w14:paraId="5B748629"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115</w:t>
            </w:r>
          </w:p>
        </w:tc>
        <w:tc>
          <w:tcPr>
            <w:tcW w:w="2268" w:type="dxa"/>
            <w:shd w:val="clear" w:color="auto" w:fill="auto"/>
            <w:hideMark/>
          </w:tcPr>
          <w:p w14:paraId="204BB7D3"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22 </w:t>
            </w:r>
            <w:r w:rsidRPr="00122C96">
              <w:rPr>
                <w:rFonts w:ascii="Calibri" w:eastAsia="Times New Roman" w:hAnsi="Calibri" w:cs="Calibri"/>
                <w:color w:val="auto"/>
                <w:sz w:val="22"/>
                <w:szCs w:val="22"/>
                <w:lang w:eastAsia="nb-NO"/>
              </w:rPr>
              <w:t>%</w:t>
            </w:r>
          </w:p>
        </w:tc>
      </w:tr>
      <w:tr w:rsidR="003C522C" w:rsidRPr="00122C96" w14:paraId="053ABD78" w14:textId="77777777" w:rsidTr="004972FD">
        <w:trPr>
          <w:trHeight w:val="569"/>
        </w:trPr>
        <w:tc>
          <w:tcPr>
            <w:tcW w:w="2972" w:type="dxa"/>
            <w:shd w:val="clear" w:color="auto" w:fill="00B0F0"/>
            <w:hideMark/>
          </w:tcPr>
          <w:p w14:paraId="5CBF304D" w14:textId="1858F7B9" w:rsidR="003C522C" w:rsidRPr="003C522C" w:rsidRDefault="003C522C" w:rsidP="004972FD">
            <w:pPr>
              <w:spacing w:before="0"/>
              <w:jc w:val="both"/>
              <w:rPr>
                <w:rFonts w:ascii="Calibri" w:eastAsia="Times New Roman" w:hAnsi="Calibri" w:cs="Calibri"/>
                <w:color w:val="auto"/>
                <w:sz w:val="22"/>
                <w:szCs w:val="22"/>
                <w:lang w:val="en-US" w:eastAsia="nb-NO"/>
              </w:rPr>
            </w:pPr>
            <w:r w:rsidRPr="003C522C">
              <w:rPr>
                <w:rFonts w:ascii="Calibri" w:eastAsia="Times New Roman" w:hAnsi="Calibri" w:cs="Calibri"/>
                <w:color w:val="auto"/>
                <w:sz w:val="22"/>
                <w:szCs w:val="22"/>
                <w:lang w:val="en-US" w:eastAsia="nb-NO"/>
              </w:rPr>
              <w:t>Manager wi</w:t>
            </w:r>
            <w:r w:rsidR="00974A2F">
              <w:rPr>
                <w:rFonts w:ascii="Calibri" w:eastAsia="Times New Roman" w:hAnsi="Calibri" w:cs="Calibri"/>
                <w:color w:val="auto"/>
                <w:sz w:val="22"/>
                <w:szCs w:val="22"/>
                <w:lang w:val="en-US" w:eastAsia="nb-NO"/>
              </w:rPr>
              <w:t>th</w:t>
            </w:r>
            <w:r w:rsidRPr="003C522C">
              <w:rPr>
                <w:rFonts w:ascii="Calibri" w:eastAsia="Times New Roman" w:hAnsi="Calibri" w:cs="Calibri"/>
                <w:color w:val="auto"/>
                <w:sz w:val="22"/>
                <w:szCs w:val="22"/>
                <w:lang w:val="en-US" w:eastAsia="nb-NO"/>
              </w:rPr>
              <w:t xml:space="preserve"> personnel responsibility</w:t>
            </w:r>
            <w:r w:rsidR="00974A2F">
              <w:rPr>
                <w:rFonts w:ascii="Calibri" w:eastAsia="Times New Roman" w:hAnsi="Calibri" w:cs="Calibri"/>
                <w:color w:val="auto"/>
                <w:sz w:val="22"/>
                <w:szCs w:val="22"/>
                <w:lang w:val="en-US" w:eastAsia="nb-NO"/>
              </w:rPr>
              <w:t xml:space="preserve"> - operational</w:t>
            </w:r>
          </w:p>
        </w:tc>
        <w:tc>
          <w:tcPr>
            <w:tcW w:w="1843" w:type="dxa"/>
            <w:shd w:val="clear" w:color="auto" w:fill="auto"/>
            <w:hideMark/>
          </w:tcPr>
          <w:p w14:paraId="2DACD948"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4</w:t>
            </w:r>
          </w:p>
        </w:tc>
        <w:tc>
          <w:tcPr>
            <w:tcW w:w="1984" w:type="dxa"/>
            <w:shd w:val="clear" w:color="auto" w:fill="auto"/>
            <w:hideMark/>
          </w:tcPr>
          <w:p w14:paraId="5B187ACB"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39</w:t>
            </w:r>
          </w:p>
        </w:tc>
        <w:tc>
          <w:tcPr>
            <w:tcW w:w="2268" w:type="dxa"/>
            <w:shd w:val="clear" w:color="auto" w:fill="auto"/>
            <w:hideMark/>
          </w:tcPr>
          <w:p w14:paraId="552B9D34"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9 </w:t>
            </w:r>
            <w:r w:rsidRPr="00122C96">
              <w:rPr>
                <w:rFonts w:ascii="Calibri" w:eastAsia="Times New Roman" w:hAnsi="Calibri" w:cs="Calibri"/>
                <w:color w:val="auto"/>
                <w:sz w:val="22"/>
                <w:szCs w:val="22"/>
                <w:lang w:eastAsia="nb-NO"/>
              </w:rPr>
              <w:t>%</w:t>
            </w:r>
          </w:p>
        </w:tc>
      </w:tr>
      <w:tr w:rsidR="003C522C" w:rsidRPr="00122C96" w14:paraId="4046C14B" w14:textId="77777777" w:rsidTr="004972FD">
        <w:trPr>
          <w:trHeight w:val="407"/>
        </w:trPr>
        <w:tc>
          <w:tcPr>
            <w:tcW w:w="2972" w:type="dxa"/>
            <w:shd w:val="clear" w:color="auto" w:fill="00B0F0"/>
            <w:hideMark/>
          </w:tcPr>
          <w:p w14:paraId="39835573" w14:textId="0F2729D6" w:rsidR="003C522C" w:rsidRDefault="003C522C" w:rsidP="004972FD">
            <w:pPr>
              <w:spacing w:before="0"/>
              <w:jc w:val="both"/>
              <w:rPr>
                <w:rFonts w:ascii="Calibri" w:eastAsia="Times New Roman" w:hAnsi="Calibri" w:cs="Calibri"/>
                <w:color w:val="auto"/>
                <w:sz w:val="22"/>
                <w:szCs w:val="22"/>
                <w:lang w:eastAsia="nb-NO"/>
              </w:rPr>
            </w:pPr>
            <w:proofErr w:type="spellStart"/>
            <w:r w:rsidRPr="004D38CF">
              <w:rPr>
                <w:rFonts w:ascii="Calibri" w:eastAsia="Times New Roman" w:hAnsi="Calibri" w:cs="Calibri"/>
                <w:color w:val="auto"/>
                <w:sz w:val="22"/>
                <w:szCs w:val="22"/>
                <w:lang w:eastAsia="nb-NO"/>
              </w:rPr>
              <w:t>Speciali</w:t>
            </w:r>
            <w:r w:rsidR="00974A2F">
              <w:rPr>
                <w:rFonts w:ascii="Calibri" w:eastAsia="Times New Roman" w:hAnsi="Calibri" w:cs="Calibri"/>
                <w:color w:val="auto"/>
                <w:sz w:val="22"/>
                <w:szCs w:val="22"/>
                <w:lang w:eastAsia="nb-NO"/>
              </w:rPr>
              <w:t>z</w:t>
            </w:r>
            <w:r w:rsidRPr="004D38CF">
              <w:rPr>
                <w:rFonts w:ascii="Calibri" w:eastAsia="Times New Roman" w:hAnsi="Calibri" w:cs="Calibri"/>
                <w:color w:val="auto"/>
                <w:sz w:val="22"/>
                <w:szCs w:val="22"/>
                <w:lang w:eastAsia="nb-NO"/>
              </w:rPr>
              <w:t>ed</w:t>
            </w:r>
            <w:proofErr w:type="spellEnd"/>
            <w:r w:rsidRPr="004D38CF">
              <w:rPr>
                <w:rFonts w:ascii="Calibri" w:eastAsia="Times New Roman" w:hAnsi="Calibri" w:cs="Calibri"/>
                <w:color w:val="auto"/>
                <w:sz w:val="22"/>
                <w:szCs w:val="22"/>
                <w:lang w:eastAsia="nb-NO"/>
              </w:rPr>
              <w:t xml:space="preserve"> </w:t>
            </w:r>
            <w:proofErr w:type="spellStart"/>
            <w:r w:rsidRPr="004D38CF">
              <w:rPr>
                <w:rFonts w:ascii="Calibri" w:eastAsia="Times New Roman" w:hAnsi="Calibri" w:cs="Calibri"/>
                <w:color w:val="auto"/>
                <w:sz w:val="22"/>
                <w:szCs w:val="22"/>
                <w:lang w:eastAsia="nb-NO"/>
              </w:rPr>
              <w:t>function</w:t>
            </w:r>
            <w:proofErr w:type="spellEnd"/>
          </w:p>
        </w:tc>
        <w:tc>
          <w:tcPr>
            <w:tcW w:w="1843" w:type="dxa"/>
            <w:shd w:val="clear" w:color="auto" w:fill="auto"/>
            <w:hideMark/>
          </w:tcPr>
          <w:p w14:paraId="7E71E0B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65</w:t>
            </w:r>
          </w:p>
        </w:tc>
        <w:tc>
          <w:tcPr>
            <w:tcW w:w="1984" w:type="dxa"/>
            <w:shd w:val="clear" w:color="auto" w:fill="auto"/>
            <w:hideMark/>
          </w:tcPr>
          <w:p w14:paraId="71C782D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70</w:t>
            </w:r>
          </w:p>
        </w:tc>
        <w:tc>
          <w:tcPr>
            <w:tcW w:w="2268" w:type="dxa"/>
            <w:shd w:val="clear" w:color="auto" w:fill="auto"/>
            <w:hideMark/>
          </w:tcPr>
          <w:p w14:paraId="0DF30D02"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48 </w:t>
            </w:r>
            <w:r w:rsidRPr="00122C96">
              <w:rPr>
                <w:rFonts w:ascii="Calibri" w:eastAsia="Times New Roman" w:hAnsi="Calibri" w:cs="Calibri"/>
                <w:color w:val="auto"/>
                <w:sz w:val="22"/>
                <w:szCs w:val="22"/>
                <w:lang w:eastAsia="nb-NO"/>
              </w:rPr>
              <w:t>%</w:t>
            </w:r>
          </w:p>
        </w:tc>
      </w:tr>
      <w:tr w:rsidR="003C522C" w:rsidRPr="00122C96" w14:paraId="5D9A3DEE" w14:textId="77777777" w:rsidTr="004972FD">
        <w:trPr>
          <w:trHeight w:val="300"/>
        </w:trPr>
        <w:tc>
          <w:tcPr>
            <w:tcW w:w="2972" w:type="dxa"/>
            <w:shd w:val="clear" w:color="auto" w:fill="00B0F0"/>
            <w:hideMark/>
          </w:tcPr>
          <w:p w14:paraId="75724398" w14:textId="77777777" w:rsidR="003C522C" w:rsidRDefault="003C522C" w:rsidP="004972FD">
            <w:pPr>
              <w:spacing w:before="0"/>
              <w:jc w:val="both"/>
              <w:rPr>
                <w:rFonts w:ascii="Calibri" w:eastAsia="Times New Roman" w:hAnsi="Calibri" w:cs="Calibri"/>
                <w:color w:val="auto"/>
                <w:sz w:val="22"/>
                <w:szCs w:val="22"/>
                <w:lang w:eastAsia="nb-NO"/>
              </w:rPr>
            </w:pPr>
            <w:proofErr w:type="spellStart"/>
            <w:r w:rsidRPr="004D38CF">
              <w:rPr>
                <w:rFonts w:ascii="Calibri" w:eastAsia="Times New Roman" w:hAnsi="Calibri" w:cs="Calibri"/>
                <w:color w:val="auto"/>
                <w:sz w:val="22"/>
                <w:szCs w:val="22"/>
                <w:lang w:eastAsia="nb-NO"/>
              </w:rPr>
              <w:t>Functionary</w:t>
            </w:r>
            <w:proofErr w:type="spellEnd"/>
          </w:p>
        </w:tc>
        <w:tc>
          <w:tcPr>
            <w:tcW w:w="1843" w:type="dxa"/>
            <w:shd w:val="clear" w:color="auto" w:fill="auto"/>
            <w:hideMark/>
          </w:tcPr>
          <w:p w14:paraId="3B9806E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106</w:t>
            </w:r>
          </w:p>
        </w:tc>
        <w:tc>
          <w:tcPr>
            <w:tcW w:w="1984" w:type="dxa"/>
            <w:shd w:val="clear" w:color="auto" w:fill="auto"/>
            <w:hideMark/>
          </w:tcPr>
          <w:p w14:paraId="524D4F97"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150</w:t>
            </w:r>
          </w:p>
        </w:tc>
        <w:tc>
          <w:tcPr>
            <w:tcW w:w="2268" w:type="dxa"/>
            <w:shd w:val="clear" w:color="auto" w:fill="auto"/>
            <w:hideMark/>
          </w:tcPr>
          <w:p w14:paraId="7AF329DF"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41 </w:t>
            </w:r>
            <w:r w:rsidRPr="00122C96">
              <w:rPr>
                <w:rFonts w:ascii="Calibri" w:eastAsia="Times New Roman" w:hAnsi="Calibri" w:cs="Calibri"/>
                <w:color w:val="auto"/>
                <w:sz w:val="22"/>
                <w:szCs w:val="22"/>
                <w:lang w:eastAsia="nb-NO"/>
              </w:rPr>
              <w:t>%</w:t>
            </w:r>
          </w:p>
        </w:tc>
      </w:tr>
      <w:tr w:rsidR="003C522C" w:rsidRPr="00122C96" w14:paraId="5B64EA44" w14:textId="77777777" w:rsidTr="004972FD">
        <w:trPr>
          <w:trHeight w:val="300"/>
        </w:trPr>
        <w:tc>
          <w:tcPr>
            <w:tcW w:w="2972" w:type="dxa"/>
            <w:shd w:val="clear" w:color="auto" w:fill="00B0F0"/>
            <w:hideMark/>
          </w:tcPr>
          <w:p w14:paraId="0146BF49" w14:textId="77777777"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Sales/</w:t>
            </w:r>
            <w:proofErr w:type="spellStart"/>
            <w:r w:rsidRPr="004D38CF">
              <w:rPr>
                <w:rFonts w:ascii="Calibri" w:eastAsia="Times New Roman" w:hAnsi="Calibri" w:cs="Calibri"/>
                <w:color w:val="auto"/>
                <w:sz w:val="22"/>
                <w:szCs w:val="22"/>
                <w:lang w:eastAsia="nb-NO"/>
              </w:rPr>
              <w:t>market</w:t>
            </w:r>
            <w:proofErr w:type="spellEnd"/>
          </w:p>
        </w:tc>
        <w:tc>
          <w:tcPr>
            <w:tcW w:w="1843" w:type="dxa"/>
            <w:shd w:val="clear" w:color="auto" w:fill="auto"/>
            <w:hideMark/>
          </w:tcPr>
          <w:p w14:paraId="1225159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54</w:t>
            </w:r>
          </w:p>
        </w:tc>
        <w:tc>
          <w:tcPr>
            <w:tcW w:w="1984" w:type="dxa"/>
            <w:shd w:val="clear" w:color="auto" w:fill="auto"/>
            <w:hideMark/>
          </w:tcPr>
          <w:p w14:paraId="33BABD18"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86</w:t>
            </w:r>
          </w:p>
        </w:tc>
        <w:tc>
          <w:tcPr>
            <w:tcW w:w="2268" w:type="dxa"/>
            <w:shd w:val="clear" w:color="auto" w:fill="auto"/>
            <w:hideMark/>
          </w:tcPr>
          <w:p w14:paraId="1DF50246"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39 </w:t>
            </w:r>
            <w:r w:rsidRPr="00122C96">
              <w:rPr>
                <w:rFonts w:ascii="Calibri" w:eastAsia="Times New Roman" w:hAnsi="Calibri" w:cs="Calibri"/>
                <w:color w:val="auto"/>
                <w:sz w:val="22"/>
                <w:szCs w:val="22"/>
                <w:lang w:eastAsia="nb-NO"/>
              </w:rPr>
              <w:t>%</w:t>
            </w:r>
          </w:p>
        </w:tc>
      </w:tr>
      <w:tr w:rsidR="003C522C" w:rsidRPr="00122C96" w14:paraId="7EF06CFA" w14:textId="77777777" w:rsidTr="004972FD">
        <w:trPr>
          <w:trHeight w:val="300"/>
        </w:trPr>
        <w:tc>
          <w:tcPr>
            <w:tcW w:w="2972" w:type="dxa"/>
            <w:shd w:val="clear" w:color="auto" w:fill="00B0F0"/>
            <w:hideMark/>
          </w:tcPr>
          <w:p w14:paraId="497C290D" w14:textId="77777777"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Operative</w:t>
            </w:r>
          </w:p>
        </w:tc>
        <w:tc>
          <w:tcPr>
            <w:tcW w:w="1843" w:type="dxa"/>
            <w:shd w:val="clear" w:color="auto" w:fill="auto"/>
            <w:hideMark/>
          </w:tcPr>
          <w:p w14:paraId="3B3FC0E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46</w:t>
            </w:r>
          </w:p>
        </w:tc>
        <w:tc>
          <w:tcPr>
            <w:tcW w:w="1984" w:type="dxa"/>
            <w:shd w:val="clear" w:color="auto" w:fill="auto"/>
            <w:hideMark/>
          </w:tcPr>
          <w:p w14:paraId="17D8F87A"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 xml:space="preserve">1 </w:t>
            </w:r>
            <w:r>
              <w:rPr>
                <w:rFonts w:ascii="Calibri" w:eastAsia="Times New Roman" w:hAnsi="Calibri" w:cs="Calibri"/>
                <w:color w:val="auto"/>
                <w:sz w:val="22"/>
                <w:szCs w:val="22"/>
                <w:lang w:eastAsia="nb-NO"/>
              </w:rPr>
              <w:t>094</w:t>
            </w:r>
          </w:p>
        </w:tc>
        <w:tc>
          <w:tcPr>
            <w:tcW w:w="2268" w:type="dxa"/>
            <w:shd w:val="clear" w:color="auto" w:fill="auto"/>
            <w:hideMark/>
          </w:tcPr>
          <w:p w14:paraId="79C11285"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4 %</w:t>
            </w:r>
          </w:p>
        </w:tc>
      </w:tr>
      <w:tr w:rsidR="003C522C" w:rsidRPr="00122C96" w14:paraId="264C1C1E" w14:textId="77777777" w:rsidTr="004972FD">
        <w:trPr>
          <w:trHeight w:val="300"/>
        </w:trPr>
        <w:tc>
          <w:tcPr>
            <w:tcW w:w="2972" w:type="dxa"/>
            <w:shd w:val="clear" w:color="auto" w:fill="00B0F0"/>
            <w:hideMark/>
          </w:tcPr>
          <w:p w14:paraId="6891ABFA" w14:textId="77777777" w:rsidR="003C522C" w:rsidRDefault="003C522C" w:rsidP="004972FD">
            <w:pPr>
              <w:spacing w:before="0"/>
              <w:jc w:val="both"/>
              <w:rPr>
                <w:rFonts w:ascii="Calibri" w:eastAsia="Times New Roman" w:hAnsi="Calibri" w:cs="Calibri"/>
                <w:color w:val="auto"/>
                <w:sz w:val="22"/>
                <w:szCs w:val="22"/>
                <w:lang w:eastAsia="nb-NO"/>
              </w:rPr>
            </w:pPr>
            <w:r w:rsidRPr="004D38CF">
              <w:rPr>
                <w:rFonts w:ascii="Calibri" w:eastAsia="Times New Roman" w:hAnsi="Calibri" w:cs="Calibri"/>
                <w:color w:val="auto"/>
                <w:sz w:val="22"/>
                <w:szCs w:val="22"/>
                <w:lang w:eastAsia="nb-NO"/>
              </w:rPr>
              <w:t>Group management</w:t>
            </w:r>
          </w:p>
        </w:tc>
        <w:tc>
          <w:tcPr>
            <w:tcW w:w="1843" w:type="dxa"/>
            <w:shd w:val="clear" w:color="auto" w:fill="auto"/>
            <w:hideMark/>
          </w:tcPr>
          <w:p w14:paraId="377F8B1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w:t>
            </w:r>
          </w:p>
        </w:tc>
        <w:tc>
          <w:tcPr>
            <w:tcW w:w="1984" w:type="dxa"/>
            <w:shd w:val="clear" w:color="auto" w:fill="auto"/>
            <w:hideMark/>
          </w:tcPr>
          <w:p w14:paraId="330788B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5</w:t>
            </w:r>
          </w:p>
        </w:tc>
        <w:tc>
          <w:tcPr>
            <w:tcW w:w="2268" w:type="dxa"/>
            <w:shd w:val="clear" w:color="auto" w:fill="auto"/>
            <w:hideMark/>
          </w:tcPr>
          <w:p w14:paraId="4315618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xml:space="preserve">20 </w:t>
            </w:r>
            <w:r w:rsidRPr="00122C96">
              <w:rPr>
                <w:rFonts w:ascii="Calibri" w:eastAsia="Times New Roman" w:hAnsi="Calibri" w:cs="Calibri"/>
                <w:color w:val="auto"/>
                <w:sz w:val="22"/>
                <w:szCs w:val="22"/>
                <w:lang w:eastAsia="nb-NO"/>
              </w:rPr>
              <w:t>%</w:t>
            </w:r>
          </w:p>
        </w:tc>
      </w:tr>
      <w:tr w:rsidR="003C522C" w:rsidRPr="00122C96" w14:paraId="78F81FB6" w14:textId="77777777" w:rsidTr="004972FD">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00B0F0"/>
            <w:hideMark/>
          </w:tcPr>
          <w:p w14:paraId="50DF5FB9"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 xml:space="preserve">Total all </w:t>
            </w:r>
            <w:proofErr w:type="spellStart"/>
            <w:r>
              <w:rPr>
                <w:rFonts w:ascii="Calibri" w:eastAsia="Times New Roman" w:hAnsi="Calibri" w:cs="Calibri"/>
                <w:b/>
                <w:bCs/>
                <w:color w:val="auto"/>
                <w:sz w:val="22"/>
                <w:szCs w:val="22"/>
                <w:lang w:eastAsia="nb-NO"/>
              </w:rPr>
              <w:t>categories</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24681839"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306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875F848"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1543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0C2B71F" w14:textId="77777777" w:rsidR="003C522C" w:rsidRDefault="003C522C" w:rsidP="004972FD">
            <w:pPr>
              <w:spacing w:before="0"/>
              <w:jc w:val="both"/>
              <w:rPr>
                <w:rFonts w:ascii="Calibri" w:eastAsia="Times New Roman" w:hAnsi="Calibri" w:cs="Calibri"/>
                <w:b/>
                <w:bCs/>
                <w:color w:val="auto"/>
                <w:sz w:val="22"/>
                <w:szCs w:val="22"/>
                <w:lang w:eastAsia="nb-NO"/>
              </w:rPr>
            </w:pPr>
            <w:r>
              <w:rPr>
                <w:rFonts w:ascii="Calibri" w:eastAsia="Times New Roman" w:hAnsi="Calibri" w:cs="Calibri"/>
                <w:b/>
                <w:bCs/>
                <w:color w:val="auto"/>
                <w:sz w:val="22"/>
                <w:szCs w:val="22"/>
                <w:lang w:eastAsia="nb-NO"/>
              </w:rPr>
              <w:t xml:space="preserve">17 </w:t>
            </w:r>
            <w:r w:rsidRPr="009063B9">
              <w:rPr>
                <w:rFonts w:ascii="Calibri" w:eastAsia="Times New Roman" w:hAnsi="Calibri" w:cs="Calibri"/>
                <w:b/>
                <w:bCs/>
                <w:color w:val="auto"/>
                <w:sz w:val="22"/>
                <w:szCs w:val="22"/>
                <w:lang w:eastAsia="nb-NO"/>
              </w:rPr>
              <w:t>%</w:t>
            </w:r>
          </w:p>
        </w:tc>
      </w:tr>
    </w:tbl>
    <w:p w14:paraId="61E58845" w14:textId="77777777" w:rsidR="003C522C" w:rsidRPr="003C522C" w:rsidRDefault="003C522C" w:rsidP="003C522C">
      <w:pPr>
        <w:ind w:left="720"/>
        <w:jc w:val="both"/>
        <w:rPr>
          <w:i/>
          <w:iCs/>
          <w:sz w:val="20"/>
          <w:lang w:val="en-US"/>
        </w:rPr>
      </w:pPr>
      <w:r w:rsidRPr="003C522C">
        <w:rPr>
          <w:i/>
          <w:iCs/>
          <w:sz w:val="20"/>
          <w:lang w:val="en-US"/>
        </w:rPr>
        <w:t>Table 2 - Gender distribution in different job categories in NG Group in Norway</w:t>
      </w:r>
    </w:p>
    <w:p w14:paraId="3DA9A259" w14:textId="77777777" w:rsidR="003C522C" w:rsidRPr="003C522C" w:rsidRDefault="003C522C" w:rsidP="003C522C">
      <w:pPr>
        <w:ind w:left="720"/>
        <w:jc w:val="both"/>
        <w:rPr>
          <w:i/>
          <w:iCs/>
          <w:sz w:val="20"/>
          <w:lang w:val="en-US"/>
        </w:rPr>
      </w:pPr>
    </w:p>
    <w:p w14:paraId="2FC5FDA9" w14:textId="77777777" w:rsidR="003C522C" w:rsidRPr="003C522C" w:rsidRDefault="003C522C" w:rsidP="003C522C">
      <w:pPr>
        <w:pStyle w:val="Overskrift3"/>
        <w:jc w:val="both"/>
        <w:rPr>
          <w:lang w:val="en-US"/>
        </w:rPr>
      </w:pPr>
      <w:r w:rsidRPr="003C522C">
        <w:rPr>
          <w:lang w:val="en-US"/>
        </w:rPr>
        <w:t>Salary, bonus, and benefits and variations between genders</w:t>
      </w:r>
    </w:p>
    <w:p w14:paraId="59A10141" w14:textId="77777777" w:rsidR="003C522C" w:rsidRPr="003C522C" w:rsidRDefault="003C522C" w:rsidP="003C522C">
      <w:pPr>
        <w:tabs>
          <w:tab w:val="left" w:pos="709"/>
        </w:tabs>
        <w:contextualSpacing/>
        <w:jc w:val="both"/>
        <w:rPr>
          <w:color w:val="auto"/>
          <w:lang w:val="en-US"/>
        </w:rPr>
      </w:pPr>
      <w:r w:rsidRPr="003C522C">
        <w:rPr>
          <w:color w:val="auto"/>
          <w:lang w:val="en-US"/>
        </w:rPr>
        <w:t xml:space="preserve">Salary differences in NG Group in Norway have been mapped for all job groups in 2023. The mapping has been based on the following salary </w:t>
      </w:r>
      <w:proofErr w:type="gramStart"/>
      <w:r w:rsidRPr="003C522C">
        <w:rPr>
          <w:color w:val="auto"/>
          <w:lang w:val="en-US"/>
        </w:rPr>
        <w:t>types;</w:t>
      </w:r>
      <w:proofErr w:type="gramEnd"/>
      <w:r w:rsidRPr="003C522C">
        <w:rPr>
          <w:color w:val="auto"/>
          <w:lang w:val="en-US"/>
        </w:rPr>
        <w:t xml:space="preserve"> </w:t>
      </w:r>
    </w:p>
    <w:p w14:paraId="10B9F1AF" w14:textId="77777777" w:rsidR="003C522C" w:rsidRDefault="003C522C" w:rsidP="003C522C">
      <w:pPr>
        <w:pStyle w:val="Listeavsnitt"/>
        <w:numPr>
          <w:ilvl w:val="0"/>
          <w:numId w:val="28"/>
        </w:numPr>
        <w:tabs>
          <w:tab w:val="left" w:pos="709"/>
        </w:tabs>
        <w:jc w:val="both"/>
        <w:rPr>
          <w:color w:val="auto"/>
        </w:rPr>
      </w:pPr>
      <w:r>
        <w:rPr>
          <w:color w:val="auto"/>
          <w:szCs w:val="24"/>
        </w:rPr>
        <w:t xml:space="preserve">Total </w:t>
      </w:r>
      <w:proofErr w:type="spellStart"/>
      <w:r>
        <w:rPr>
          <w:color w:val="auto"/>
          <w:szCs w:val="24"/>
        </w:rPr>
        <w:t>compensation</w:t>
      </w:r>
      <w:proofErr w:type="spellEnd"/>
    </w:p>
    <w:p w14:paraId="48797C99" w14:textId="77777777" w:rsidR="003C522C" w:rsidRDefault="003C522C" w:rsidP="003C522C">
      <w:pPr>
        <w:pStyle w:val="Listeavsnitt"/>
        <w:numPr>
          <w:ilvl w:val="0"/>
          <w:numId w:val="28"/>
        </w:numPr>
        <w:tabs>
          <w:tab w:val="left" w:pos="709"/>
        </w:tabs>
        <w:jc w:val="both"/>
        <w:rPr>
          <w:color w:val="auto"/>
        </w:rPr>
      </w:pPr>
      <w:proofErr w:type="spellStart"/>
      <w:r w:rsidRPr="00D93BD9">
        <w:rPr>
          <w:color w:val="auto"/>
          <w:szCs w:val="24"/>
        </w:rPr>
        <w:t>Fixed</w:t>
      </w:r>
      <w:proofErr w:type="spellEnd"/>
      <w:r w:rsidRPr="00D93BD9">
        <w:rPr>
          <w:color w:val="auto"/>
          <w:szCs w:val="24"/>
        </w:rPr>
        <w:t xml:space="preserve"> </w:t>
      </w:r>
      <w:proofErr w:type="spellStart"/>
      <w:r w:rsidRPr="00D93BD9">
        <w:rPr>
          <w:color w:val="auto"/>
          <w:szCs w:val="24"/>
        </w:rPr>
        <w:t>salary</w:t>
      </w:r>
      <w:proofErr w:type="spellEnd"/>
    </w:p>
    <w:p w14:paraId="77ADD1FF" w14:textId="77777777" w:rsidR="003C522C" w:rsidRDefault="003C522C" w:rsidP="003C522C">
      <w:pPr>
        <w:pStyle w:val="Listeavsnitt"/>
        <w:numPr>
          <w:ilvl w:val="0"/>
          <w:numId w:val="28"/>
        </w:numPr>
        <w:tabs>
          <w:tab w:val="left" w:pos="709"/>
        </w:tabs>
        <w:jc w:val="both"/>
        <w:rPr>
          <w:color w:val="auto"/>
        </w:rPr>
      </w:pPr>
      <w:r w:rsidRPr="00D93BD9">
        <w:rPr>
          <w:color w:val="auto"/>
          <w:szCs w:val="24"/>
        </w:rPr>
        <w:t>Bonus</w:t>
      </w:r>
    </w:p>
    <w:p w14:paraId="625E0A5D" w14:textId="77777777" w:rsidR="003C522C" w:rsidRPr="003C522C" w:rsidRDefault="003C522C" w:rsidP="003C522C">
      <w:pPr>
        <w:jc w:val="both"/>
        <w:rPr>
          <w:lang w:val="en-US"/>
        </w:rPr>
      </w:pPr>
      <w:r w:rsidRPr="003C522C">
        <w:rPr>
          <w:lang w:val="en-US"/>
        </w:rPr>
        <w:t xml:space="preserve">Of all the </w:t>
      </w:r>
      <w:r w:rsidRPr="003C522C">
        <w:rPr>
          <w:color w:val="auto"/>
          <w:lang w:val="en-US"/>
        </w:rPr>
        <w:t xml:space="preserve">1,849 employees in the survey, </w:t>
      </w:r>
      <w:r w:rsidRPr="003C522C">
        <w:rPr>
          <w:lang w:val="en-US"/>
        </w:rPr>
        <w:t xml:space="preserve">more than half are men in the "Operative" category. Men in the "Operative" category have lower salaries than men in other job categories. When the average salary for all male employees in the Group is calculated overall, the large proportion of men in the "Operative" category reduces the average. For women, the situation is the opposite; there are relatively few female employees in the Group in total, and of these, only 4 per cent are employed in the "Operative" job category. This means that a larger proportion of women in the Group are employed in categories with higher average salaries. The average salary for women is therefore increased when the average annual salary for all female employees is </w:t>
      </w:r>
      <w:proofErr w:type="gramStart"/>
      <w:r w:rsidRPr="003C522C">
        <w:rPr>
          <w:lang w:val="en-US"/>
        </w:rPr>
        <w:t>calculated as a whole</w:t>
      </w:r>
      <w:proofErr w:type="gramEnd"/>
      <w:r w:rsidRPr="003C522C">
        <w:rPr>
          <w:lang w:val="en-US"/>
        </w:rPr>
        <w:t xml:space="preserve">. </w:t>
      </w:r>
    </w:p>
    <w:p w14:paraId="4CC06CD3" w14:textId="77777777" w:rsidR="003C522C" w:rsidRPr="003C522C" w:rsidRDefault="003C522C" w:rsidP="003C522C">
      <w:pPr>
        <w:jc w:val="both"/>
        <w:rPr>
          <w:lang w:val="en-US"/>
        </w:rPr>
      </w:pPr>
      <w:r w:rsidRPr="003C522C">
        <w:rPr>
          <w:lang w:val="en-US"/>
        </w:rPr>
        <w:t xml:space="preserve">Due to the employee composition described in the section above, we therefore get the following </w:t>
      </w:r>
      <w:proofErr w:type="gramStart"/>
      <w:r w:rsidRPr="003C522C">
        <w:rPr>
          <w:lang w:val="en-US"/>
        </w:rPr>
        <w:t>correlation;</w:t>
      </w:r>
      <w:proofErr w:type="gramEnd"/>
      <w:r w:rsidRPr="003C522C">
        <w:rPr>
          <w:lang w:val="en-US"/>
        </w:rPr>
        <w:t xml:space="preserve"> Despite the fact that women are lower in salary than men in most job categories, the survey for the total number of employees in the entire NG Group Norway shows that a woman has an average salary that is 15 per cent higher than a man's. For total compensation, the overall </w:t>
      </w:r>
      <w:r w:rsidRPr="003C522C">
        <w:rPr>
          <w:lang w:val="en-US"/>
        </w:rPr>
        <w:lastRenderedPageBreak/>
        <w:t xml:space="preserve">difference in salary is somewhat smaller; a woman in the Group has on average 10 per cent higher total compensation than a man.  </w:t>
      </w:r>
    </w:p>
    <w:p w14:paraId="0D1BA8BB" w14:textId="77777777" w:rsidR="003C522C" w:rsidRPr="003C522C" w:rsidRDefault="003C522C" w:rsidP="003C522C">
      <w:pPr>
        <w:tabs>
          <w:tab w:val="left" w:pos="709"/>
        </w:tabs>
        <w:contextualSpacing/>
        <w:jc w:val="both"/>
        <w:rPr>
          <w:color w:val="auto"/>
          <w:lang w:val="en-US"/>
        </w:rPr>
      </w:pPr>
    </w:p>
    <w:p w14:paraId="7924CBBF" w14:textId="77777777" w:rsidR="003C522C" w:rsidRPr="003C522C" w:rsidRDefault="003C522C" w:rsidP="003C522C">
      <w:pPr>
        <w:spacing w:before="0"/>
        <w:contextualSpacing/>
        <w:jc w:val="both"/>
        <w:rPr>
          <w:lang w:val="en-US"/>
        </w:rPr>
      </w:pPr>
      <w:r w:rsidRPr="003C522C">
        <w:rPr>
          <w:lang w:val="en-US"/>
        </w:rPr>
        <w:t xml:space="preserve">As there was only one woman in Group management as </w:t>
      </w:r>
      <w:proofErr w:type="gramStart"/>
      <w:r w:rsidRPr="003C522C">
        <w:rPr>
          <w:lang w:val="en-US"/>
        </w:rPr>
        <w:t>at</w:t>
      </w:r>
      <w:proofErr w:type="gramEnd"/>
      <w:r w:rsidRPr="003C522C">
        <w:rPr>
          <w:lang w:val="en-US"/>
        </w:rPr>
        <w:t xml:space="preserve"> 31 December 2023, salaries based on gender in this job category are not reported.</w:t>
      </w:r>
    </w:p>
    <w:p w14:paraId="13A958F9" w14:textId="77777777" w:rsidR="003C522C" w:rsidRPr="003C522C" w:rsidRDefault="003C522C" w:rsidP="003C522C">
      <w:pPr>
        <w:spacing w:before="0"/>
        <w:contextualSpacing/>
        <w:jc w:val="both"/>
        <w:rPr>
          <w:lang w:val="en-US"/>
        </w:rPr>
      </w:pPr>
    </w:p>
    <w:p w14:paraId="62C7023A" w14:textId="71540577" w:rsidR="003C522C" w:rsidRPr="003C522C" w:rsidRDefault="003C522C" w:rsidP="003C522C">
      <w:pPr>
        <w:spacing w:before="0"/>
        <w:contextualSpacing/>
        <w:jc w:val="both"/>
        <w:rPr>
          <w:color w:val="auto"/>
          <w:lang w:val="en-US"/>
        </w:rPr>
      </w:pPr>
      <w:r w:rsidRPr="003C522C">
        <w:rPr>
          <w:color w:val="auto"/>
          <w:lang w:val="en-US"/>
        </w:rPr>
        <w:t xml:space="preserve">34 per cent of all men and 30 per cent of all women have received a bonus for the 2022 financial year. It has not been </w:t>
      </w:r>
      <w:r w:rsidR="00C72C7A">
        <w:rPr>
          <w:color w:val="auto"/>
          <w:lang w:val="en-US"/>
        </w:rPr>
        <w:t>analyzed</w:t>
      </w:r>
      <w:r w:rsidRPr="003C522C">
        <w:rPr>
          <w:color w:val="auto"/>
          <w:lang w:val="en-US"/>
        </w:rPr>
        <w:t xml:space="preserve"> how many employees are eligible for bonuses in the first place. </w:t>
      </w:r>
    </w:p>
    <w:p w14:paraId="07AD46A3" w14:textId="77777777" w:rsidR="003C522C" w:rsidRPr="003C522C" w:rsidRDefault="003C522C" w:rsidP="003C522C">
      <w:pPr>
        <w:spacing w:before="0"/>
        <w:contextualSpacing/>
        <w:jc w:val="both"/>
        <w:rPr>
          <w:color w:val="auto"/>
          <w:lang w:val="en-US"/>
        </w:rPr>
      </w:pPr>
    </w:p>
    <w:p w14:paraId="1D7B8D58" w14:textId="77777777" w:rsidR="003C522C" w:rsidRPr="003C522C" w:rsidRDefault="003C522C" w:rsidP="003C522C">
      <w:pPr>
        <w:spacing w:before="0"/>
        <w:contextualSpacing/>
        <w:jc w:val="both"/>
        <w:rPr>
          <w:color w:val="auto"/>
          <w:lang w:val="en-US"/>
        </w:rPr>
      </w:pPr>
      <w:r w:rsidRPr="003C522C">
        <w:rPr>
          <w:color w:val="auto"/>
          <w:lang w:val="en-US"/>
        </w:rPr>
        <w:t xml:space="preserve">Due to the employee composition with a significant proportion of male operators, it is demanding and probably not value-adding to use averages based on all employees to show a picture that reflects the correlations in the actual bonus payments. In the </w:t>
      </w:r>
      <w:r w:rsidRPr="003C522C">
        <w:rPr>
          <w:lang w:val="en-US"/>
        </w:rPr>
        <w:t xml:space="preserve">same way as the average calculation for fixed salary, the calculation of the average bonus paid for the total number of employees in NG Group Norway also shows that women have on average received a marginally higher bonus than men in 2023. This is </w:t>
      </w:r>
      <w:proofErr w:type="gramStart"/>
      <w:r w:rsidRPr="003C522C">
        <w:rPr>
          <w:lang w:val="en-US"/>
        </w:rPr>
        <w:t>despite the fact that</w:t>
      </w:r>
      <w:proofErr w:type="gramEnd"/>
      <w:r w:rsidRPr="003C522C">
        <w:rPr>
          <w:lang w:val="en-US"/>
        </w:rPr>
        <w:t xml:space="preserve"> women have lower bonuses than men in each individual job category. The reason is, as mentioned, that there are large differences in the employee population by gender, the types of job category they are employed in, and the number in each category who have received bonus payments. </w:t>
      </w:r>
    </w:p>
    <w:p w14:paraId="27EA304D" w14:textId="18E49B70" w:rsidR="003C522C" w:rsidRPr="003C522C" w:rsidRDefault="003C522C" w:rsidP="003C522C">
      <w:pPr>
        <w:jc w:val="both"/>
        <w:rPr>
          <w:lang w:val="en-US"/>
        </w:rPr>
      </w:pPr>
      <w:r w:rsidRPr="003C522C">
        <w:rPr>
          <w:lang w:val="en-US"/>
        </w:rPr>
        <w:t xml:space="preserve">To give a more accurate picture, bonuses are therefore also </w:t>
      </w:r>
      <w:r w:rsidR="00C72C7A">
        <w:rPr>
          <w:lang w:val="en-US"/>
        </w:rPr>
        <w:t>z</w:t>
      </w:r>
      <w:r w:rsidRPr="003C522C">
        <w:rPr>
          <w:lang w:val="en-US"/>
        </w:rPr>
        <w:t xml:space="preserve"> in relation to the number of employees who have </w:t>
      </w:r>
      <w:proofErr w:type="gramStart"/>
      <w:r w:rsidRPr="003C522C">
        <w:rPr>
          <w:lang w:val="en-US"/>
        </w:rPr>
        <w:t>actually received</w:t>
      </w:r>
      <w:proofErr w:type="gramEnd"/>
      <w:r w:rsidRPr="003C522C">
        <w:rPr>
          <w:lang w:val="en-US"/>
        </w:rPr>
        <w:t xml:space="preserve"> bonuses. Of the 511 men who have received bonuses (which corresponds to 30 per cent of all men), 297 are employed in the job category "Operative". The bonuses are low compared to the other job categories. However, of the 87 women who have bonuses (34 per cent of all women), very few women have received unpaid bonuses (10) in the "Operative" category. Most of the women who have received bonuses belong to job categories with relatively higher fixed salaries and thus higher bonuses, which pushes up the average for women. The bonus amount is calculated based on a fixed individual % factor of the fixed salary.</w:t>
      </w:r>
    </w:p>
    <w:p w14:paraId="5E4BD0D0" w14:textId="77777777" w:rsidR="003C522C" w:rsidRPr="003C522C" w:rsidRDefault="003C522C" w:rsidP="003C522C">
      <w:pPr>
        <w:jc w:val="both"/>
        <w:rPr>
          <w:lang w:val="en-US"/>
        </w:rPr>
      </w:pPr>
    </w:p>
    <w:p w14:paraId="1D96A969" w14:textId="77777777" w:rsidR="003C522C" w:rsidRPr="003C522C" w:rsidRDefault="003C522C" w:rsidP="003C522C">
      <w:pPr>
        <w:spacing w:before="0"/>
        <w:contextualSpacing/>
        <w:jc w:val="both"/>
        <w:rPr>
          <w:color w:val="auto"/>
          <w:lang w:val="en-US"/>
        </w:rPr>
      </w:pPr>
    </w:p>
    <w:p w14:paraId="37EDDF90" w14:textId="77777777" w:rsidR="003C522C" w:rsidRPr="003C522C" w:rsidRDefault="003C522C" w:rsidP="003C522C">
      <w:pPr>
        <w:spacing w:before="0" w:after="120" w:line="312" w:lineRule="auto"/>
        <w:jc w:val="both"/>
        <w:rPr>
          <w:color w:val="auto"/>
          <w:szCs w:val="24"/>
          <w:lang w:val="en-US"/>
        </w:rPr>
      </w:pPr>
      <w:r w:rsidRPr="003C522C">
        <w:rPr>
          <w:color w:val="auto"/>
          <w:szCs w:val="24"/>
          <w:lang w:val="en-US"/>
        </w:rPr>
        <w:br w:type="page"/>
      </w:r>
    </w:p>
    <w:p w14:paraId="3BA6568D" w14:textId="33B09F14" w:rsidR="003C522C" w:rsidRPr="003C522C" w:rsidRDefault="003C522C" w:rsidP="003C522C">
      <w:pPr>
        <w:spacing w:before="0"/>
        <w:jc w:val="both"/>
        <w:rPr>
          <w:color w:val="auto"/>
          <w:szCs w:val="24"/>
          <w:lang w:val="en-US"/>
        </w:rPr>
      </w:pPr>
      <w:r w:rsidRPr="003C522C">
        <w:rPr>
          <w:color w:val="auto"/>
          <w:szCs w:val="24"/>
          <w:lang w:val="en-US"/>
        </w:rPr>
        <w:lastRenderedPageBreak/>
        <w:t>Table 3 below shows how much more/less a woman earns on average than a man. The salary differences are stated per job category and based on the number of employees per gender in each category. The sum of all cash benefits (total compensation) is shown in the white column. In addition, the differences for contractual annual salary are shown in the grey column and bonuses are shown separately in blue. Comments on the results of the survey follow below per job category.</w:t>
      </w:r>
    </w:p>
    <w:p w14:paraId="775344BF" w14:textId="77777777" w:rsidR="003C522C" w:rsidRPr="003C522C" w:rsidRDefault="003C522C" w:rsidP="003C522C">
      <w:pPr>
        <w:tabs>
          <w:tab w:val="left" w:pos="709"/>
        </w:tabs>
        <w:contextualSpacing/>
        <w:jc w:val="both"/>
        <w:rPr>
          <w:color w:val="auto"/>
          <w:lang w:val="en-US"/>
        </w:rPr>
      </w:pPr>
    </w:p>
    <w:p w14:paraId="5081584F" w14:textId="77777777" w:rsidR="003C522C" w:rsidRPr="003C522C" w:rsidRDefault="003C522C" w:rsidP="003C522C">
      <w:pPr>
        <w:tabs>
          <w:tab w:val="left" w:pos="709"/>
        </w:tabs>
        <w:contextualSpacing/>
        <w:jc w:val="both"/>
        <w:rPr>
          <w:b/>
          <w:bCs/>
          <w:color w:val="auto"/>
          <w:lang w:val="en-US"/>
        </w:rPr>
      </w:pPr>
    </w:p>
    <w:tbl>
      <w:tblPr>
        <w:tblW w:w="8559"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9"/>
        <w:gridCol w:w="2319"/>
        <w:gridCol w:w="2100"/>
        <w:gridCol w:w="2211"/>
      </w:tblGrid>
      <w:tr w:rsidR="003C522C" w:rsidRPr="003C522C" w14:paraId="4A290076" w14:textId="77777777" w:rsidTr="004972FD">
        <w:trPr>
          <w:trHeight w:val="582"/>
        </w:trPr>
        <w:tc>
          <w:tcPr>
            <w:tcW w:w="1929" w:type="dxa"/>
            <w:shd w:val="clear" w:color="auto" w:fill="FFECC3" w:themeFill="accent3" w:themeFillTint="66"/>
            <w:hideMark/>
          </w:tcPr>
          <w:p w14:paraId="0D25B188" w14:textId="77777777" w:rsidR="003C522C" w:rsidRDefault="003C522C" w:rsidP="004972FD">
            <w:pPr>
              <w:spacing w:before="0"/>
              <w:jc w:val="both"/>
              <w:rPr>
                <w:rFonts w:ascii="Calibri" w:eastAsia="Times New Roman" w:hAnsi="Calibri" w:cs="Calibri"/>
                <w:b/>
                <w:bCs/>
                <w:color w:val="auto"/>
                <w:sz w:val="22"/>
                <w:szCs w:val="22"/>
                <w:lang w:eastAsia="nb-NO"/>
              </w:rPr>
            </w:pPr>
            <w:r w:rsidRPr="00122C96">
              <w:rPr>
                <w:rFonts w:ascii="Calibri" w:eastAsia="Times New Roman" w:hAnsi="Calibri" w:cs="Calibri"/>
                <w:b/>
                <w:bCs/>
                <w:color w:val="auto"/>
                <w:sz w:val="22"/>
                <w:szCs w:val="22"/>
                <w:lang w:eastAsia="nb-NO"/>
              </w:rPr>
              <w:t xml:space="preserve">Job </w:t>
            </w:r>
            <w:proofErr w:type="spellStart"/>
            <w:r w:rsidRPr="00122C96">
              <w:rPr>
                <w:rFonts w:ascii="Calibri" w:eastAsia="Times New Roman" w:hAnsi="Calibri" w:cs="Calibri"/>
                <w:b/>
                <w:bCs/>
                <w:color w:val="auto"/>
                <w:sz w:val="22"/>
                <w:szCs w:val="22"/>
                <w:lang w:eastAsia="nb-NO"/>
              </w:rPr>
              <w:t>level</w:t>
            </w:r>
            <w:proofErr w:type="spellEnd"/>
            <w:r w:rsidRPr="00122C96">
              <w:rPr>
                <w:rFonts w:ascii="Calibri" w:eastAsia="Times New Roman" w:hAnsi="Calibri" w:cs="Calibri"/>
                <w:b/>
                <w:bCs/>
                <w:color w:val="auto"/>
                <w:sz w:val="22"/>
                <w:szCs w:val="22"/>
                <w:lang w:eastAsia="nb-NO"/>
              </w:rPr>
              <w:t>/</w:t>
            </w:r>
            <w:proofErr w:type="spellStart"/>
            <w:r w:rsidRPr="00122C96">
              <w:rPr>
                <w:rFonts w:ascii="Calibri" w:eastAsia="Times New Roman" w:hAnsi="Calibri" w:cs="Calibri"/>
                <w:b/>
                <w:bCs/>
                <w:color w:val="auto"/>
                <w:sz w:val="22"/>
                <w:szCs w:val="22"/>
                <w:lang w:eastAsia="nb-NO"/>
              </w:rPr>
              <w:t>group</w:t>
            </w:r>
            <w:proofErr w:type="spellEnd"/>
          </w:p>
        </w:tc>
        <w:tc>
          <w:tcPr>
            <w:tcW w:w="2319" w:type="dxa"/>
            <w:shd w:val="clear" w:color="auto" w:fill="auto"/>
            <w:hideMark/>
          </w:tcPr>
          <w:p w14:paraId="7A187848" w14:textId="4332B827" w:rsidR="003C522C" w:rsidRDefault="003C522C" w:rsidP="004972FD">
            <w:pPr>
              <w:spacing w:before="0"/>
              <w:rPr>
                <w:rFonts w:ascii="Calibri" w:eastAsia="Times New Roman" w:hAnsi="Calibri" w:cs="Calibri"/>
                <w:b/>
                <w:bCs/>
                <w:color w:val="auto"/>
                <w:sz w:val="22"/>
                <w:szCs w:val="22"/>
                <w:lang w:eastAsia="nb-NO"/>
              </w:rPr>
            </w:pPr>
            <w:proofErr w:type="spellStart"/>
            <w:r w:rsidRPr="00122C96">
              <w:rPr>
                <w:rFonts w:ascii="Calibri" w:eastAsia="Times New Roman" w:hAnsi="Calibri" w:cs="Calibri"/>
                <w:b/>
                <w:bCs/>
                <w:color w:val="auto"/>
                <w:sz w:val="22"/>
                <w:szCs w:val="22"/>
                <w:lang w:eastAsia="nb-NO"/>
              </w:rPr>
              <w:t>Differences</w:t>
            </w:r>
            <w:proofErr w:type="spellEnd"/>
            <w:r w:rsidRPr="00122C96">
              <w:rPr>
                <w:rFonts w:ascii="Calibri" w:eastAsia="Times New Roman" w:hAnsi="Calibri" w:cs="Calibri"/>
                <w:b/>
                <w:bCs/>
                <w:color w:val="auto"/>
                <w:sz w:val="22"/>
                <w:szCs w:val="22"/>
                <w:lang w:eastAsia="nb-NO"/>
              </w:rPr>
              <w:t xml:space="preserve"> in </w:t>
            </w:r>
            <w:r>
              <w:rPr>
                <w:rFonts w:ascii="Calibri" w:eastAsia="Times New Roman" w:hAnsi="Calibri" w:cs="Calibri"/>
                <w:b/>
                <w:bCs/>
                <w:color w:val="auto"/>
                <w:sz w:val="22"/>
                <w:szCs w:val="22"/>
                <w:lang w:eastAsia="nb-NO"/>
              </w:rPr>
              <w:t xml:space="preserve">total </w:t>
            </w:r>
            <w:proofErr w:type="spellStart"/>
            <w:r>
              <w:rPr>
                <w:rFonts w:ascii="Calibri" w:eastAsia="Times New Roman" w:hAnsi="Calibri" w:cs="Calibri"/>
                <w:b/>
                <w:bCs/>
                <w:color w:val="auto"/>
                <w:sz w:val="22"/>
                <w:szCs w:val="22"/>
                <w:lang w:eastAsia="nb-NO"/>
              </w:rPr>
              <w:t>compen</w:t>
            </w:r>
            <w:r w:rsidR="00C72C7A">
              <w:rPr>
                <w:rFonts w:ascii="Calibri" w:eastAsia="Times New Roman" w:hAnsi="Calibri" w:cs="Calibri"/>
                <w:b/>
                <w:bCs/>
                <w:color w:val="auto"/>
                <w:sz w:val="22"/>
                <w:szCs w:val="22"/>
                <w:lang w:eastAsia="nb-NO"/>
              </w:rPr>
              <w:t>s</w:t>
            </w:r>
            <w:r>
              <w:rPr>
                <w:rFonts w:ascii="Calibri" w:eastAsia="Times New Roman" w:hAnsi="Calibri" w:cs="Calibri"/>
                <w:b/>
                <w:bCs/>
                <w:color w:val="auto"/>
                <w:sz w:val="22"/>
                <w:szCs w:val="22"/>
                <w:lang w:eastAsia="nb-NO"/>
              </w:rPr>
              <w:t>ation</w:t>
            </w:r>
            <w:proofErr w:type="spellEnd"/>
            <w:r>
              <w:rPr>
                <w:rFonts w:ascii="Calibri" w:eastAsia="Times New Roman" w:hAnsi="Calibri" w:cs="Calibri"/>
                <w:b/>
                <w:bCs/>
                <w:color w:val="auto"/>
                <w:sz w:val="22"/>
                <w:szCs w:val="22"/>
                <w:lang w:eastAsia="nb-NO"/>
              </w:rPr>
              <w:t>*</w:t>
            </w:r>
          </w:p>
        </w:tc>
        <w:tc>
          <w:tcPr>
            <w:tcW w:w="2100" w:type="dxa"/>
            <w:shd w:val="clear" w:color="auto" w:fill="E7E6E6" w:themeFill="background2"/>
          </w:tcPr>
          <w:p w14:paraId="17CB661C" w14:textId="77777777" w:rsidR="003C522C" w:rsidRDefault="003C522C" w:rsidP="004972FD">
            <w:pPr>
              <w:spacing w:before="0"/>
              <w:jc w:val="both"/>
              <w:rPr>
                <w:rFonts w:ascii="Calibri" w:eastAsia="Times New Roman" w:hAnsi="Calibri" w:cs="Calibri"/>
                <w:b/>
                <w:bCs/>
                <w:color w:val="auto"/>
                <w:sz w:val="22"/>
                <w:szCs w:val="22"/>
                <w:lang w:eastAsia="nb-NO"/>
              </w:rPr>
            </w:pPr>
            <w:proofErr w:type="spellStart"/>
            <w:r>
              <w:rPr>
                <w:rFonts w:ascii="Calibri" w:eastAsia="Times New Roman" w:hAnsi="Calibri" w:cs="Calibri"/>
                <w:b/>
                <w:bCs/>
                <w:color w:val="auto"/>
                <w:sz w:val="22"/>
                <w:szCs w:val="22"/>
                <w:lang w:eastAsia="nb-NO"/>
              </w:rPr>
              <w:t>Differences</w:t>
            </w:r>
            <w:proofErr w:type="spellEnd"/>
            <w:r>
              <w:rPr>
                <w:rFonts w:ascii="Calibri" w:eastAsia="Times New Roman" w:hAnsi="Calibri" w:cs="Calibri"/>
                <w:b/>
                <w:bCs/>
                <w:color w:val="auto"/>
                <w:sz w:val="22"/>
                <w:szCs w:val="22"/>
                <w:lang w:eastAsia="nb-NO"/>
              </w:rPr>
              <w:t xml:space="preserve"> in </w:t>
            </w:r>
            <w:proofErr w:type="spellStart"/>
            <w:r>
              <w:rPr>
                <w:rFonts w:ascii="Calibri" w:eastAsia="Times New Roman" w:hAnsi="Calibri" w:cs="Calibri"/>
                <w:b/>
                <w:bCs/>
                <w:color w:val="auto"/>
                <w:sz w:val="22"/>
                <w:szCs w:val="22"/>
                <w:lang w:eastAsia="nb-NO"/>
              </w:rPr>
              <w:t>fixed</w:t>
            </w:r>
            <w:proofErr w:type="spellEnd"/>
            <w:r>
              <w:rPr>
                <w:rFonts w:ascii="Calibri" w:eastAsia="Times New Roman" w:hAnsi="Calibri" w:cs="Calibri"/>
                <w:b/>
                <w:bCs/>
                <w:color w:val="auto"/>
                <w:sz w:val="22"/>
                <w:szCs w:val="22"/>
                <w:lang w:eastAsia="nb-NO"/>
              </w:rPr>
              <w:t xml:space="preserve"> </w:t>
            </w:r>
            <w:proofErr w:type="spellStart"/>
            <w:r>
              <w:rPr>
                <w:rFonts w:ascii="Calibri" w:eastAsia="Times New Roman" w:hAnsi="Calibri" w:cs="Calibri"/>
                <w:b/>
                <w:bCs/>
                <w:color w:val="auto"/>
                <w:sz w:val="22"/>
                <w:szCs w:val="22"/>
                <w:lang w:eastAsia="nb-NO"/>
              </w:rPr>
              <w:t>salary</w:t>
            </w:r>
            <w:proofErr w:type="spellEnd"/>
          </w:p>
          <w:p w14:paraId="7118EEB3" w14:textId="77777777" w:rsidR="003C522C" w:rsidRPr="003C522C" w:rsidRDefault="003C522C" w:rsidP="004972FD">
            <w:pPr>
              <w:pStyle w:val="Listeavsnitt"/>
              <w:numPr>
                <w:ilvl w:val="0"/>
                <w:numId w:val="32"/>
              </w:numPr>
              <w:spacing w:before="0"/>
              <w:jc w:val="both"/>
              <w:rPr>
                <w:rFonts w:ascii="Calibri" w:eastAsia="Times New Roman" w:hAnsi="Calibri" w:cs="Calibri"/>
                <w:b/>
                <w:bCs/>
                <w:color w:val="auto"/>
                <w:sz w:val="22"/>
                <w:szCs w:val="22"/>
                <w:lang w:val="en-US" w:eastAsia="nb-NO"/>
              </w:rPr>
            </w:pPr>
            <w:r w:rsidRPr="003C522C">
              <w:rPr>
                <w:rFonts w:ascii="Calibri" w:eastAsia="Times New Roman" w:hAnsi="Calibri" w:cs="Calibri"/>
                <w:b/>
                <w:bCs/>
                <w:color w:val="auto"/>
                <w:sz w:val="22"/>
                <w:szCs w:val="22"/>
                <w:lang w:val="en-US" w:eastAsia="nb-NO"/>
              </w:rPr>
              <w:t>Women more/less than men</w:t>
            </w:r>
          </w:p>
        </w:tc>
        <w:tc>
          <w:tcPr>
            <w:tcW w:w="2211" w:type="dxa"/>
            <w:shd w:val="clear" w:color="auto" w:fill="9CC2E5" w:themeFill="accent5" w:themeFillTint="99"/>
          </w:tcPr>
          <w:p w14:paraId="648A4183" w14:textId="77777777" w:rsidR="003C522C" w:rsidRDefault="003C522C" w:rsidP="004972FD">
            <w:pPr>
              <w:spacing w:before="0"/>
              <w:jc w:val="both"/>
              <w:rPr>
                <w:rFonts w:ascii="Calibri" w:eastAsia="Times New Roman" w:hAnsi="Calibri" w:cs="Calibri"/>
                <w:b/>
                <w:bCs/>
                <w:color w:val="auto"/>
                <w:sz w:val="22"/>
                <w:szCs w:val="22"/>
                <w:lang w:eastAsia="nb-NO"/>
              </w:rPr>
            </w:pPr>
            <w:proofErr w:type="spellStart"/>
            <w:r>
              <w:rPr>
                <w:rFonts w:ascii="Calibri" w:eastAsia="Times New Roman" w:hAnsi="Calibri" w:cs="Calibri"/>
                <w:b/>
                <w:bCs/>
                <w:color w:val="auto"/>
                <w:sz w:val="22"/>
                <w:szCs w:val="22"/>
                <w:lang w:eastAsia="nb-NO"/>
              </w:rPr>
              <w:t>Differences</w:t>
            </w:r>
            <w:proofErr w:type="spellEnd"/>
            <w:r>
              <w:rPr>
                <w:rFonts w:ascii="Calibri" w:eastAsia="Times New Roman" w:hAnsi="Calibri" w:cs="Calibri"/>
                <w:b/>
                <w:bCs/>
                <w:color w:val="auto"/>
                <w:sz w:val="22"/>
                <w:szCs w:val="22"/>
                <w:lang w:eastAsia="nb-NO"/>
              </w:rPr>
              <w:t xml:space="preserve"> bonus</w:t>
            </w:r>
          </w:p>
          <w:p w14:paraId="27001B6E" w14:textId="77777777" w:rsidR="003C522C" w:rsidRPr="003C522C" w:rsidRDefault="003C522C" w:rsidP="004972FD">
            <w:pPr>
              <w:pStyle w:val="Listeavsnitt"/>
              <w:numPr>
                <w:ilvl w:val="0"/>
                <w:numId w:val="32"/>
              </w:numPr>
              <w:spacing w:before="0"/>
              <w:jc w:val="both"/>
              <w:rPr>
                <w:rFonts w:ascii="Calibri" w:eastAsia="Times New Roman" w:hAnsi="Calibri" w:cs="Calibri"/>
                <w:b/>
                <w:bCs/>
                <w:color w:val="auto"/>
                <w:sz w:val="22"/>
                <w:szCs w:val="22"/>
                <w:lang w:val="en-US" w:eastAsia="nb-NO"/>
              </w:rPr>
            </w:pPr>
            <w:r w:rsidRPr="003C522C">
              <w:rPr>
                <w:rFonts w:ascii="Calibri" w:eastAsia="Times New Roman" w:hAnsi="Calibri" w:cs="Calibri"/>
                <w:b/>
                <w:bCs/>
                <w:color w:val="auto"/>
                <w:sz w:val="22"/>
                <w:szCs w:val="22"/>
                <w:lang w:val="en-US" w:eastAsia="nb-NO"/>
              </w:rPr>
              <w:t>Women more/less than men</w:t>
            </w:r>
          </w:p>
        </w:tc>
      </w:tr>
      <w:tr w:rsidR="003C522C" w:rsidRPr="00122C96" w14:paraId="2315B10A" w14:textId="77777777" w:rsidTr="004972FD">
        <w:trPr>
          <w:trHeight w:val="600"/>
        </w:trPr>
        <w:tc>
          <w:tcPr>
            <w:tcW w:w="1929" w:type="dxa"/>
            <w:shd w:val="clear" w:color="auto" w:fill="FFECC3" w:themeFill="accent3" w:themeFillTint="66"/>
            <w:hideMark/>
          </w:tcPr>
          <w:p w14:paraId="22037CDF"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 xml:space="preserve">Manager </w:t>
            </w:r>
            <w:proofErr w:type="spellStart"/>
            <w:r w:rsidRPr="00122C96">
              <w:rPr>
                <w:rFonts w:ascii="Calibri" w:eastAsia="Times New Roman" w:hAnsi="Calibri" w:cs="Calibri"/>
                <w:color w:val="auto"/>
                <w:sz w:val="22"/>
                <w:szCs w:val="22"/>
                <w:lang w:eastAsia="nb-NO"/>
              </w:rPr>
              <w:t>with</w:t>
            </w:r>
            <w:proofErr w:type="spellEnd"/>
            <w:r w:rsidRPr="00122C96">
              <w:rPr>
                <w:rFonts w:ascii="Calibri" w:eastAsia="Times New Roman" w:hAnsi="Calibri" w:cs="Calibri"/>
                <w:color w:val="auto"/>
                <w:sz w:val="22"/>
                <w:szCs w:val="22"/>
                <w:lang w:eastAsia="nb-NO"/>
              </w:rPr>
              <w:t xml:space="preserve"> </w:t>
            </w:r>
            <w:proofErr w:type="spellStart"/>
            <w:r w:rsidRPr="00122C96">
              <w:rPr>
                <w:rFonts w:ascii="Calibri" w:eastAsia="Times New Roman" w:hAnsi="Calibri" w:cs="Calibri"/>
                <w:color w:val="auto"/>
                <w:sz w:val="22"/>
                <w:szCs w:val="22"/>
                <w:lang w:eastAsia="nb-NO"/>
              </w:rPr>
              <w:t>personnel</w:t>
            </w:r>
            <w:proofErr w:type="spellEnd"/>
            <w:r w:rsidRPr="00122C96">
              <w:rPr>
                <w:rFonts w:ascii="Calibri" w:eastAsia="Times New Roman" w:hAnsi="Calibri" w:cs="Calibri"/>
                <w:color w:val="auto"/>
                <w:sz w:val="22"/>
                <w:szCs w:val="22"/>
                <w:lang w:eastAsia="nb-NO"/>
              </w:rPr>
              <w:t xml:space="preserve"> </w:t>
            </w:r>
            <w:proofErr w:type="spellStart"/>
            <w:r w:rsidRPr="00122C96">
              <w:rPr>
                <w:rFonts w:ascii="Calibri" w:eastAsia="Times New Roman" w:hAnsi="Calibri" w:cs="Calibri"/>
                <w:color w:val="auto"/>
                <w:sz w:val="22"/>
                <w:szCs w:val="22"/>
                <w:lang w:eastAsia="nb-NO"/>
              </w:rPr>
              <w:t>responsibility</w:t>
            </w:r>
            <w:proofErr w:type="spellEnd"/>
          </w:p>
        </w:tc>
        <w:tc>
          <w:tcPr>
            <w:tcW w:w="2319" w:type="dxa"/>
            <w:shd w:val="clear" w:color="auto" w:fill="auto"/>
          </w:tcPr>
          <w:p w14:paraId="7ADA2DDB"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5 %</w:t>
            </w:r>
          </w:p>
        </w:tc>
        <w:tc>
          <w:tcPr>
            <w:tcW w:w="2100" w:type="dxa"/>
            <w:shd w:val="clear" w:color="auto" w:fill="E7E6E6" w:themeFill="background2"/>
          </w:tcPr>
          <w:p w14:paraId="1F1E2944"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4 %</w:t>
            </w:r>
          </w:p>
        </w:tc>
        <w:tc>
          <w:tcPr>
            <w:tcW w:w="2211" w:type="dxa"/>
            <w:shd w:val="clear" w:color="auto" w:fill="9CC2E5" w:themeFill="accent5" w:themeFillTint="99"/>
          </w:tcPr>
          <w:p w14:paraId="6321CF2C"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39 %</w:t>
            </w:r>
          </w:p>
        </w:tc>
      </w:tr>
      <w:tr w:rsidR="003C522C" w:rsidRPr="00122C96" w14:paraId="70F71A17" w14:textId="77777777" w:rsidTr="004972FD">
        <w:trPr>
          <w:trHeight w:val="900"/>
        </w:trPr>
        <w:tc>
          <w:tcPr>
            <w:tcW w:w="1929" w:type="dxa"/>
            <w:shd w:val="clear" w:color="auto" w:fill="FFECC3" w:themeFill="accent3" w:themeFillTint="66"/>
            <w:hideMark/>
          </w:tcPr>
          <w:p w14:paraId="12358F3F" w14:textId="3F68E9E4" w:rsidR="003C522C" w:rsidRPr="003C522C" w:rsidRDefault="003C522C" w:rsidP="004972FD">
            <w:pPr>
              <w:spacing w:before="0"/>
              <w:jc w:val="both"/>
              <w:rPr>
                <w:rFonts w:ascii="Calibri" w:eastAsia="Times New Roman" w:hAnsi="Calibri" w:cs="Calibri"/>
                <w:color w:val="auto"/>
                <w:sz w:val="22"/>
                <w:szCs w:val="22"/>
                <w:lang w:val="en-US" w:eastAsia="nb-NO"/>
              </w:rPr>
            </w:pPr>
            <w:r w:rsidRPr="003C522C">
              <w:rPr>
                <w:rFonts w:ascii="Calibri" w:eastAsia="Times New Roman" w:hAnsi="Calibri" w:cs="Calibri"/>
                <w:color w:val="auto"/>
                <w:sz w:val="22"/>
                <w:szCs w:val="22"/>
                <w:lang w:val="en-US" w:eastAsia="nb-NO"/>
              </w:rPr>
              <w:t>Manager with</w:t>
            </w:r>
            <w:r w:rsidR="005640F4">
              <w:rPr>
                <w:rFonts w:ascii="Calibri" w:eastAsia="Times New Roman" w:hAnsi="Calibri" w:cs="Calibri"/>
                <w:color w:val="auto"/>
                <w:sz w:val="22"/>
                <w:szCs w:val="22"/>
                <w:lang w:val="en-US" w:eastAsia="nb-NO"/>
              </w:rPr>
              <w:t xml:space="preserve"> </w:t>
            </w:r>
            <w:r w:rsidRPr="003C522C">
              <w:rPr>
                <w:rFonts w:ascii="Calibri" w:eastAsia="Times New Roman" w:hAnsi="Calibri" w:cs="Calibri"/>
                <w:color w:val="auto"/>
                <w:sz w:val="22"/>
                <w:szCs w:val="22"/>
                <w:lang w:val="en-US" w:eastAsia="nb-NO"/>
              </w:rPr>
              <w:t>personnel responsibility</w:t>
            </w:r>
            <w:r w:rsidR="005640F4">
              <w:rPr>
                <w:rFonts w:ascii="Calibri" w:eastAsia="Times New Roman" w:hAnsi="Calibri" w:cs="Calibri"/>
                <w:color w:val="auto"/>
                <w:sz w:val="22"/>
                <w:szCs w:val="22"/>
                <w:lang w:val="en-US" w:eastAsia="nb-NO"/>
              </w:rPr>
              <w:t>- operational</w:t>
            </w:r>
          </w:p>
        </w:tc>
        <w:tc>
          <w:tcPr>
            <w:tcW w:w="2319" w:type="dxa"/>
            <w:shd w:val="clear" w:color="auto" w:fill="auto"/>
          </w:tcPr>
          <w:p w14:paraId="2BC529B9"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-6 %</w:t>
            </w:r>
          </w:p>
        </w:tc>
        <w:tc>
          <w:tcPr>
            <w:tcW w:w="2100" w:type="dxa"/>
            <w:shd w:val="clear" w:color="auto" w:fill="E7E6E6" w:themeFill="background2"/>
          </w:tcPr>
          <w:p w14:paraId="45DE5CC6"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-8 %</w:t>
            </w:r>
          </w:p>
        </w:tc>
        <w:tc>
          <w:tcPr>
            <w:tcW w:w="2211" w:type="dxa"/>
            <w:shd w:val="clear" w:color="auto" w:fill="9CC2E5" w:themeFill="accent5" w:themeFillTint="99"/>
          </w:tcPr>
          <w:p w14:paraId="7E99E51A"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N/A*.</w:t>
            </w:r>
          </w:p>
        </w:tc>
      </w:tr>
      <w:tr w:rsidR="003C522C" w:rsidRPr="00122C96" w14:paraId="7DDF01F3" w14:textId="77777777" w:rsidTr="004972FD">
        <w:trPr>
          <w:trHeight w:val="600"/>
        </w:trPr>
        <w:tc>
          <w:tcPr>
            <w:tcW w:w="1929" w:type="dxa"/>
            <w:shd w:val="clear" w:color="auto" w:fill="FFECC3" w:themeFill="accent3" w:themeFillTint="66"/>
            <w:hideMark/>
          </w:tcPr>
          <w:p w14:paraId="52B0EA1A" w14:textId="3F5AAE71" w:rsidR="003C522C" w:rsidRDefault="003C522C" w:rsidP="004972FD">
            <w:pPr>
              <w:spacing w:before="0"/>
              <w:jc w:val="both"/>
              <w:rPr>
                <w:rFonts w:ascii="Calibri" w:eastAsia="Times New Roman" w:hAnsi="Calibri" w:cs="Calibri"/>
                <w:color w:val="auto"/>
                <w:sz w:val="22"/>
                <w:szCs w:val="22"/>
                <w:lang w:eastAsia="nb-NO"/>
              </w:rPr>
            </w:pPr>
            <w:proofErr w:type="spellStart"/>
            <w:r w:rsidRPr="00122C96">
              <w:rPr>
                <w:rFonts w:ascii="Calibri" w:eastAsia="Times New Roman" w:hAnsi="Calibri" w:cs="Calibri"/>
                <w:color w:val="auto"/>
                <w:sz w:val="22"/>
                <w:szCs w:val="22"/>
                <w:lang w:eastAsia="nb-NO"/>
              </w:rPr>
              <w:t>Speciali</w:t>
            </w:r>
            <w:r w:rsidR="005640F4">
              <w:rPr>
                <w:rFonts w:ascii="Calibri" w:eastAsia="Times New Roman" w:hAnsi="Calibri" w:cs="Calibri"/>
                <w:color w:val="auto"/>
                <w:sz w:val="22"/>
                <w:szCs w:val="22"/>
                <w:lang w:eastAsia="nb-NO"/>
              </w:rPr>
              <w:t>z</w:t>
            </w:r>
            <w:r w:rsidRPr="00122C96">
              <w:rPr>
                <w:rFonts w:ascii="Calibri" w:eastAsia="Times New Roman" w:hAnsi="Calibri" w:cs="Calibri"/>
                <w:color w:val="auto"/>
                <w:sz w:val="22"/>
                <w:szCs w:val="22"/>
                <w:lang w:eastAsia="nb-NO"/>
              </w:rPr>
              <w:t>ed</w:t>
            </w:r>
            <w:proofErr w:type="spellEnd"/>
            <w:r w:rsidRPr="00122C96">
              <w:rPr>
                <w:rFonts w:ascii="Calibri" w:eastAsia="Times New Roman" w:hAnsi="Calibri" w:cs="Calibri"/>
                <w:color w:val="auto"/>
                <w:sz w:val="22"/>
                <w:szCs w:val="22"/>
                <w:lang w:eastAsia="nb-NO"/>
              </w:rPr>
              <w:t xml:space="preserve"> </w:t>
            </w:r>
            <w:proofErr w:type="spellStart"/>
            <w:r w:rsidRPr="00122C96">
              <w:rPr>
                <w:rFonts w:ascii="Calibri" w:eastAsia="Times New Roman" w:hAnsi="Calibri" w:cs="Calibri"/>
                <w:color w:val="auto"/>
                <w:sz w:val="22"/>
                <w:szCs w:val="22"/>
                <w:lang w:eastAsia="nb-NO"/>
              </w:rPr>
              <w:t>function</w:t>
            </w:r>
            <w:proofErr w:type="spellEnd"/>
          </w:p>
        </w:tc>
        <w:tc>
          <w:tcPr>
            <w:tcW w:w="2319" w:type="dxa"/>
            <w:shd w:val="clear" w:color="auto" w:fill="auto"/>
          </w:tcPr>
          <w:p w14:paraId="6811CA20"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-4 %</w:t>
            </w:r>
          </w:p>
        </w:tc>
        <w:tc>
          <w:tcPr>
            <w:tcW w:w="2100" w:type="dxa"/>
            <w:shd w:val="clear" w:color="auto" w:fill="E7E6E6" w:themeFill="background2"/>
          </w:tcPr>
          <w:p w14:paraId="0D840FEF"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- 6 %</w:t>
            </w:r>
          </w:p>
        </w:tc>
        <w:tc>
          <w:tcPr>
            <w:tcW w:w="2211" w:type="dxa"/>
            <w:shd w:val="clear" w:color="auto" w:fill="9CC2E5" w:themeFill="accent5" w:themeFillTint="99"/>
          </w:tcPr>
          <w:p w14:paraId="1E64034A"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-74 %</w:t>
            </w:r>
          </w:p>
        </w:tc>
      </w:tr>
      <w:tr w:rsidR="003C522C" w:rsidRPr="00122C96" w14:paraId="20AD74FE" w14:textId="77777777" w:rsidTr="004972FD">
        <w:trPr>
          <w:trHeight w:val="300"/>
        </w:trPr>
        <w:tc>
          <w:tcPr>
            <w:tcW w:w="1929" w:type="dxa"/>
            <w:shd w:val="clear" w:color="auto" w:fill="FFECC3" w:themeFill="accent3" w:themeFillTint="66"/>
            <w:hideMark/>
          </w:tcPr>
          <w:p w14:paraId="6F5ABFD6" w14:textId="77777777" w:rsidR="003C522C" w:rsidRDefault="003C522C" w:rsidP="004972FD">
            <w:pPr>
              <w:spacing w:before="0"/>
              <w:jc w:val="both"/>
              <w:rPr>
                <w:rFonts w:ascii="Calibri" w:eastAsia="Times New Roman" w:hAnsi="Calibri" w:cs="Calibri"/>
                <w:color w:val="auto"/>
                <w:sz w:val="22"/>
                <w:szCs w:val="22"/>
                <w:lang w:eastAsia="nb-NO"/>
              </w:rPr>
            </w:pPr>
            <w:proofErr w:type="spellStart"/>
            <w:r w:rsidRPr="00122C96">
              <w:rPr>
                <w:rFonts w:ascii="Calibri" w:eastAsia="Times New Roman" w:hAnsi="Calibri" w:cs="Calibri"/>
                <w:color w:val="auto"/>
                <w:sz w:val="22"/>
                <w:szCs w:val="22"/>
                <w:lang w:eastAsia="nb-NO"/>
              </w:rPr>
              <w:t>Functionary</w:t>
            </w:r>
            <w:proofErr w:type="spellEnd"/>
          </w:p>
          <w:p w14:paraId="077E58A0" w14:textId="77777777" w:rsidR="003C522C" w:rsidRPr="00122C96" w:rsidRDefault="003C522C" w:rsidP="004972FD">
            <w:pPr>
              <w:spacing w:before="0"/>
              <w:jc w:val="both"/>
              <w:rPr>
                <w:rFonts w:ascii="Calibri" w:eastAsia="Times New Roman" w:hAnsi="Calibri" w:cs="Calibri"/>
                <w:color w:val="auto"/>
                <w:sz w:val="22"/>
                <w:szCs w:val="22"/>
                <w:lang w:eastAsia="nb-NO"/>
              </w:rPr>
            </w:pPr>
          </w:p>
        </w:tc>
        <w:tc>
          <w:tcPr>
            <w:tcW w:w="2319" w:type="dxa"/>
            <w:shd w:val="clear" w:color="auto" w:fill="auto"/>
          </w:tcPr>
          <w:p w14:paraId="151AAA8D"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-15 %</w:t>
            </w:r>
          </w:p>
        </w:tc>
        <w:tc>
          <w:tcPr>
            <w:tcW w:w="2100" w:type="dxa"/>
            <w:shd w:val="clear" w:color="auto" w:fill="E7E6E6" w:themeFill="background2"/>
          </w:tcPr>
          <w:p w14:paraId="3B0D8E1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-7 %</w:t>
            </w:r>
          </w:p>
        </w:tc>
        <w:tc>
          <w:tcPr>
            <w:tcW w:w="2211" w:type="dxa"/>
            <w:shd w:val="clear" w:color="auto" w:fill="9CC2E5" w:themeFill="accent5" w:themeFillTint="99"/>
          </w:tcPr>
          <w:p w14:paraId="12109193"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-26 %</w:t>
            </w:r>
          </w:p>
        </w:tc>
      </w:tr>
      <w:tr w:rsidR="003C522C" w:rsidRPr="00122C96" w14:paraId="283D5840" w14:textId="77777777" w:rsidTr="004972FD">
        <w:trPr>
          <w:trHeight w:val="300"/>
        </w:trPr>
        <w:tc>
          <w:tcPr>
            <w:tcW w:w="1929" w:type="dxa"/>
            <w:shd w:val="clear" w:color="auto" w:fill="FFECC3" w:themeFill="accent3" w:themeFillTint="66"/>
            <w:hideMark/>
          </w:tcPr>
          <w:p w14:paraId="396DFDC7"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Sales/</w:t>
            </w:r>
            <w:proofErr w:type="spellStart"/>
            <w:r w:rsidRPr="00122C96">
              <w:rPr>
                <w:rFonts w:ascii="Calibri" w:eastAsia="Times New Roman" w:hAnsi="Calibri" w:cs="Calibri"/>
                <w:color w:val="auto"/>
                <w:sz w:val="22"/>
                <w:szCs w:val="22"/>
                <w:lang w:eastAsia="nb-NO"/>
              </w:rPr>
              <w:t>market</w:t>
            </w:r>
            <w:proofErr w:type="spellEnd"/>
          </w:p>
          <w:p w14:paraId="4BAD9C66" w14:textId="77777777" w:rsidR="003C522C" w:rsidRPr="00122C96" w:rsidRDefault="003C522C" w:rsidP="004972FD">
            <w:pPr>
              <w:spacing w:before="0"/>
              <w:jc w:val="both"/>
              <w:rPr>
                <w:rFonts w:ascii="Calibri" w:eastAsia="Times New Roman" w:hAnsi="Calibri" w:cs="Calibri"/>
                <w:color w:val="auto"/>
                <w:sz w:val="22"/>
                <w:szCs w:val="22"/>
                <w:lang w:eastAsia="nb-NO"/>
              </w:rPr>
            </w:pPr>
          </w:p>
        </w:tc>
        <w:tc>
          <w:tcPr>
            <w:tcW w:w="2319" w:type="dxa"/>
            <w:shd w:val="clear" w:color="auto" w:fill="auto"/>
          </w:tcPr>
          <w:p w14:paraId="5E55DE7A"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-26 %</w:t>
            </w:r>
          </w:p>
        </w:tc>
        <w:tc>
          <w:tcPr>
            <w:tcW w:w="2100" w:type="dxa"/>
            <w:shd w:val="clear" w:color="auto" w:fill="E7E6E6" w:themeFill="background2"/>
          </w:tcPr>
          <w:p w14:paraId="1F44DDF7"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-20 %</w:t>
            </w:r>
          </w:p>
        </w:tc>
        <w:tc>
          <w:tcPr>
            <w:tcW w:w="2211" w:type="dxa"/>
            <w:shd w:val="clear" w:color="auto" w:fill="9CC2E5" w:themeFill="accent5" w:themeFillTint="99"/>
          </w:tcPr>
          <w:p w14:paraId="300418EF"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-74 %</w:t>
            </w:r>
          </w:p>
        </w:tc>
      </w:tr>
      <w:tr w:rsidR="003C522C" w:rsidRPr="00122C96" w14:paraId="60097560" w14:textId="77777777" w:rsidTr="004972FD">
        <w:trPr>
          <w:trHeight w:val="300"/>
        </w:trPr>
        <w:tc>
          <w:tcPr>
            <w:tcW w:w="1929" w:type="dxa"/>
            <w:shd w:val="clear" w:color="auto" w:fill="FFECC3" w:themeFill="accent3" w:themeFillTint="66"/>
            <w:hideMark/>
          </w:tcPr>
          <w:p w14:paraId="546F5768"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Operative</w:t>
            </w:r>
          </w:p>
          <w:p w14:paraId="4E79078C" w14:textId="77777777" w:rsidR="003C522C" w:rsidRPr="00122C96" w:rsidRDefault="003C522C" w:rsidP="004972FD">
            <w:pPr>
              <w:spacing w:before="0"/>
              <w:jc w:val="both"/>
              <w:rPr>
                <w:rFonts w:ascii="Calibri" w:eastAsia="Times New Roman" w:hAnsi="Calibri" w:cs="Calibri"/>
                <w:color w:val="auto"/>
                <w:sz w:val="22"/>
                <w:szCs w:val="22"/>
                <w:lang w:eastAsia="nb-NO"/>
              </w:rPr>
            </w:pPr>
          </w:p>
        </w:tc>
        <w:tc>
          <w:tcPr>
            <w:tcW w:w="2319" w:type="dxa"/>
            <w:shd w:val="clear" w:color="auto" w:fill="auto"/>
          </w:tcPr>
          <w:p w14:paraId="14236CBD"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-13 %</w:t>
            </w:r>
          </w:p>
        </w:tc>
        <w:tc>
          <w:tcPr>
            <w:tcW w:w="2100" w:type="dxa"/>
            <w:shd w:val="clear" w:color="auto" w:fill="E7E6E6" w:themeFill="background2"/>
          </w:tcPr>
          <w:p w14:paraId="2E0F5133"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-19 %</w:t>
            </w:r>
          </w:p>
        </w:tc>
        <w:tc>
          <w:tcPr>
            <w:tcW w:w="2211" w:type="dxa"/>
            <w:shd w:val="clear" w:color="auto" w:fill="9CC2E5" w:themeFill="accent5" w:themeFillTint="99"/>
          </w:tcPr>
          <w:p w14:paraId="1CAAD06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-36 %</w:t>
            </w:r>
          </w:p>
        </w:tc>
      </w:tr>
      <w:tr w:rsidR="003C522C" w:rsidRPr="00122C96" w14:paraId="218C51E0" w14:textId="77777777" w:rsidTr="004972FD">
        <w:trPr>
          <w:trHeight w:val="300"/>
        </w:trPr>
        <w:tc>
          <w:tcPr>
            <w:tcW w:w="1929" w:type="dxa"/>
            <w:shd w:val="clear" w:color="auto" w:fill="FFECC3" w:themeFill="accent3" w:themeFillTint="66"/>
            <w:hideMark/>
          </w:tcPr>
          <w:p w14:paraId="65E8D70A" w14:textId="77777777" w:rsidR="003C522C" w:rsidRDefault="003C522C" w:rsidP="004972FD">
            <w:pPr>
              <w:spacing w:before="0"/>
              <w:jc w:val="both"/>
              <w:rPr>
                <w:rFonts w:ascii="Calibri" w:eastAsia="Times New Roman" w:hAnsi="Calibri" w:cs="Calibri"/>
                <w:color w:val="auto"/>
                <w:sz w:val="22"/>
                <w:szCs w:val="22"/>
                <w:lang w:eastAsia="nb-NO"/>
              </w:rPr>
            </w:pPr>
            <w:r w:rsidRPr="00122C96">
              <w:rPr>
                <w:rFonts w:ascii="Calibri" w:eastAsia="Times New Roman" w:hAnsi="Calibri" w:cs="Calibri"/>
                <w:color w:val="auto"/>
                <w:sz w:val="22"/>
                <w:szCs w:val="22"/>
                <w:lang w:eastAsia="nb-NO"/>
              </w:rPr>
              <w:t>Group management</w:t>
            </w:r>
          </w:p>
          <w:p w14:paraId="308E7B71" w14:textId="77777777" w:rsidR="003C522C" w:rsidRPr="00122C96" w:rsidRDefault="003C522C" w:rsidP="004972FD">
            <w:pPr>
              <w:spacing w:before="0"/>
              <w:jc w:val="both"/>
              <w:rPr>
                <w:rFonts w:ascii="Calibri" w:eastAsia="Times New Roman" w:hAnsi="Calibri" w:cs="Calibri"/>
                <w:color w:val="auto"/>
                <w:sz w:val="22"/>
                <w:szCs w:val="22"/>
                <w:lang w:eastAsia="nb-NO"/>
              </w:rPr>
            </w:pPr>
          </w:p>
        </w:tc>
        <w:tc>
          <w:tcPr>
            <w:tcW w:w="2319" w:type="dxa"/>
            <w:shd w:val="clear" w:color="auto" w:fill="auto"/>
          </w:tcPr>
          <w:p w14:paraId="65226B9A"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N/A</w:t>
            </w:r>
          </w:p>
        </w:tc>
        <w:tc>
          <w:tcPr>
            <w:tcW w:w="2100" w:type="dxa"/>
            <w:shd w:val="clear" w:color="auto" w:fill="E7E6E6" w:themeFill="background2"/>
          </w:tcPr>
          <w:p w14:paraId="7486CCB5"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N/A</w:t>
            </w:r>
          </w:p>
        </w:tc>
        <w:tc>
          <w:tcPr>
            <w:tcW w:w="2211" w:type="dxa"/>
            <w:shd w:val="clear" w:color="auto" w:fill="9CC2E5" w:themeFill="accent5" w:themeFillTint="99"/>
          </w:tcPr>
          <w:p w14:paraId="72682CD1" w14:textId="77777777" w:rsidR="003C522C" w:rsidRDefault="003C522C" w:rsidP="004972FD">
            <w:pPr>
              <w:spacing w:before="0"/>
              <w:jc w:val="both"/>
              <w:rPr>
                <w:rFonts w:ascii="Calibri" w:eastAsia="Times New Roman" w:hAnsi="Calibri" w:cs="Calibri"/>
                <w:color w:val="auto"/>
                <w:sz w:val="22"/>
                <w:szCs w:val="22"/>
                <w:lang w:eastAsia="nb-NO"/>
              </w:rPr>
            </w:pPr>
            <w:r>
              <w:rPr>
                <w:rFonts w:ascii="Calibri" w:eastAsia="Times New Roman" w:hAnsi="Calibri" w:cs="Calibri"/>
                <w:color w:val="auto"/>
                <w:sz w:val="22"/>
                <w:szCs w:val="22"/>
                <w:lang w:eastAsia="nb-NO"/>
              </w:rPr>
              <w:t>N/A</w:t>
            </w:r>
          </w:p>
        </w:tc>
      </w:tr>
    </w:tbl>
    <w:p w14:paraId="1F2DD345" w14:textId="77777777" w:rsidR="003C522C" w:rsidRPr="003C522C" w:rsidRDefault="003C522C" w:rsidP="003C522C">
      <w:pPr>
        <w:ind w:left="720"/>
        <w:contextualSpacing/>
        <w:jc w:val="both"/>
        <w:rPr>
          <w:i/>
          <w:iCs/>
          <w:sz w:val="20"/>
          <w:lang w:val="en-US"/>
        </w:rPr>
      </w:pPr>
      <w:r w:rsidRPr="003C522C">
        <w:rPr>
          <w:i/>
          <w:iCs/>
          <w:sz w:val="20"/>
          <w:lang w:val="en-US"/>
        </w:rPr>
        <w:t xml:space="preserve">Table 3 - Salary differences in NG Group in Norway per job category. </w:t>
      </w:r>
      <w:r w:rsidRPr="003C522C">
        <w:rPr>
          <w:i/>
          <w:iCs/>
          <w:color w:val="auto"/>
          <w:sz w:val="20"/>
          <w:lang w:val="en-US"/>
        </w:rPr>
        <w:t xml:space="preserve">The pay gaps are calculated using the following formula: ((female salary - male salary)/male salary). </w:t>
      </w:r>
    </w:p>
    <w:p w14:paraId="3C0ED030" w14:textId="77777777" w:rsidR="003C522C" w:rsidRPr="003C522C" w:rsidRDefault="003C522C" w:rsidP="003C522C">
      <w:pPr>
        <w:tabs>
          <w:tab w:val="left" w:pos="709"/>
        </w:tabs>
        <w:contextualSpacing/>
        <w:jc w:val="both"/>
        <w:rPr>
          <w:color w:val="auto"/>
          <w:lang w:val="en-US"/>
        </w:rPr>
      </w:pPr>
    </w:p>
    <w:p w14:paraId="1F559E47" w14:textId="77777777" w:rsidR="003C522C" w:rsidRPr="003C522C" w:rsidRDefault="003C522C" w:rsidP="003C522C">
      <w:pPr>
        <w:pStyle w:val="Overskrift4"/>
        <w:jc w:val="both"/>
        <w:rPr>
          <w:lang w:val="en-US"/>
        </w:rPr>
      </w:pPr>
      <w:r w:rsidRPr="003C522C">
        <w:rPr>
          <w:lang w:val="en-US"/>
        </w:rPr>
        <w:t xml:space="preserve">Comments on table 3 </w:t>
      </w:r>
    </w:p>
    <w:p w14:paraId="32A5BF4B" w14:textId="77777777" w:rsidR="003C522C" w:rsidRPr="003C522C" w:rsidRDefault="003C522C" w:rsidP="003C522C">
      <w:pPr>
        <w:jc w:val="both"/>
        <w:rPr>
          <w:lang w:val="en-US"/>
        </w:rPr>
      </w:pPr>
      <w:r w:rsidRPr="003C522C">
        <w:rPr>
          <w:lang w:val="en-US"/>
        </w:rPr>
        <w:t xml:space="preserve">The results of this year's survey show that women in the category </w:t>
      </w:r>
      <w:r w:rsidRPr="003C522C">
        <w:rPr>
          <w:b/>
          <w:bCs/>
          <w:i/>
          <w:iCs/>
          <w:lang w:val="en-US"/>
        </w:rPr>
        <w:t xml:space="preserve">"Manager with personnel responsibility" </w:t>
      </w:r>
      <w:r w:rsidRPr="003C522C">
        <w:rPr>
          <w:lang w:val="en-US"/>
        </w:rPr>
        <w:t xml:space="preserve">have an average contractual annual salary that is 4 per cent higher than men's salaries in the same category. The survey shows that the difference in average salary between the genders is around NOK 45,000. In terms of total compensation, female managers are 5 per cent higher than men. There are significant differences in bonus payments, with women receiving on average 39 per cent more than their male managers with HR responsibilities.  The main reason for this large difference is that there are few women in this category and six of these have high bonuses for 2022 compared to the average in total. </w:t>
      </w:r>
      <w:proofErr w:type="gramStart"/>
      <w:r w:rsidRPr="003C522C">
        <w:rPr>
          <w:lang w:val="en-US"/>
        </w:rPr>
        <w:t>The majority of</w:t>
      </w:r>
      <w:proofErr w:type="gramEnd"/>
      <w:r w:rsidRPr="003C522C">
        <w:rPr>
          <w:lang w:val="en-US"/>
        </w:rPr>
        <w:t xml:space="preserve"> male managers with bonus payments for 2022 are significantly below the overall average. This helps to explain the relatively large difference. </w:t>
      </w:r>
    </w:p>
    <w:p w14:paraId="1BA86E40" w14:textId="77777777" w:rsidR="003C522C" w:rsidRPr="003C522C" w:rsidRDefault="003C522C" w:rsidP="003C522C">
      <w:pPr>
        <w:jc w:val="both"/>
        <w:rPr>
          <w:lang w:val="en-US"/>
        </w:rPr>
      </w:pPr>
      <w:r w:rsidRPr="003C522C">
        <w:rPr>
          <w:lang w:val="en-US"/>
        </w:rPr>
        <w:t xml:space="preserve">In the category </w:t>
      </w:r>
      <w:r w:rsidRPr="003C522C">
        <w:rPr>
          <w:b/>
          <w:bCs/>
          <w:i/>
          <w:iCs/>
          <w:lang w:val="en-US"/>
        </w:rPr>
        <w:t xml:space="preserve">"Manager with operational HR responsibilities", </w:t>
      </w:r>
      <w:r w:rsidRPr="003C522C">
        <w:rPr>
          <w:lang w:val="en-US"/>
        </w:rPr>
        <w:t xml:space="preserve">women have an 8 per cent lower average base salary than men and 6 per cent lower when looking at total compensation. It is important to note that there are very few women compared to men in this job category, and most men in this category are at a higher level in the </w:t>
      </w:r>
      <w:proofErr w:type="spellStart"/>
      <w:r w:rsidRPr="003C522C">
        <w:rPr>
          <w:lang w:val="en-US"/>
        </w:rPr>
        <w:t>organisation</w:t>
      </w:r>
      <w:proofErr w:type="spellEnd"/>
      <w:r w:rsidRPr="003C522C">
        <w:rPr>
          <w:lang w:val="en-US"/>
        </w:rPr>
        <w:t xml:space="preserve"> where such senior roles earn more as the responsibility is greater. </w:t>
      </w:r>
    </w:p>
    <w:p w14:paraId="279A4419" w14:textId="77777777" w:rsidR="003C522C" w:rsidRPr="003C522C" w:rsidRDefault="003C522C" w:rsidP="003C522C">
      <w:pPr>
        <w:jc w:val="both"/>
        <w:rPr>
          <w:lang w:val="en-US"/>
        </w:rPr>
      </w:pPr>
      <w:r w:rsidRPr="003C522C">
        <w:rPr>
          <w:lang w:val="en-US"/>
        </w:rPr>
        <w:lastRenderedPageBreak/>
        <w:t>For the job category "</w:t>
      </w:r>
      <w:r w:rsidRPr="003C522C">
        <w:rPr>
          <w:i/>
          <w:iCs/>
          <w:lang w:val="en-US"/>
        </w:rPr>
        <w:t>Manager with operational personnel responsibility</w:t>
      </w:r>
      <w:r w:rsidRPr="003C522C">
        <w:rPr>
          <w:lang w:val="en-US"/>
        </w:rPr>
        <w:t xml:space="preserve">" there is only one woman, and for privacy reasons no specific differences are therefore disclosed, but the survey shows that bonuses for men are on average higher than for women. </w:t>
      </w:r>
    </w:p>
    <w:p w14:paraId="64334B6C" w14:textId="77777777" w:rsidR="003C522C" w:rsidRPr="003C522C" w:rsidRDefault="003C522C" w:rsidP="003C522C">
      <w:pPr>
        <w:jc w:val="both"/>
        <w:rPr>
          <w:lang w:val="en-US"/>
        </w:rPr>
      </w:pPr>
      <w:r w:rsidRPr="003C522C">
        <w:rPr>
          <w:lang w:val="en-US"/>
        </w:rPr>
        <w:t xml:space="preserve">For employees in the category </w:t>
      </w:r>
      <w:r w:rsidRPr="003C522C">
        <w:rPr>
          <w:b/>
          <w:bCs/>
          <w:i/>
          <w:iCs/>
          <w:lang w:val="en-US"/>
        </w:rPr>
        <w:t xml:space="preserve">"Specialist function", </w:t>
      </w:r>
      <w:r w:rsidRPr="003C522C">
        <w:rPr>
          <w:lang w:val="en-US"/>
        </w:rPr>
        <w:t xml:space="preserve">women have 6 per cent lower average salaries than men. Here, women earn about NOK 50,000 less than men in the same category. When we look at total compensation, the difference is somewhat greater. Here, the average salary for men is 11 per cent higher than for women. There are significant differences in bonus payments, with women receiving an average of 74 per cent less than men. The probable reason is that some specialist positions are held by relatively highly paid men with long experience/previous management roles in the Group. In addition, there are significantly more female specialists in so-called support functions than men. It should be noted that several men in the "Specialist function" category in 2023 had high bonus payments compared with the overall average. </w:t>
      </w:r>
    </w:p>
    <w:p w14:paraId="1EE14DFF" w14:textId="77777777" w:rsidR="003C522C" w:rsidRPr="003C522C" w:rsidRDefault="003C522C" w:rsidP="003C522C">
      <w:pPr>
        <w:jc w:val="both"/>
        <w:rPr>
          <w:lang w:val="en-US"/>
        </w:rPr>
      </w:pPr>
      <w:r w:rsidRPr="003C522C">
        <w:rPr>
          <w:lang w:val="en-US"/>
        </w:rPr>
        <w:t xml:space="preserve">For the job category </w:t>
      </w:r>
      <w:r w:rsidRPr="003C522C">
        <w:rPr>
          <w:b/>
          <w:bCs/>
          <w:i/>
          <w:iCs/>
          <w:lang w:val="en-US"/>
        </w:rPr>
        <w:t>"Functionary"</w:t>
      </w:r>
      <w:r w:rsidRPr="003C522C">
        <w:rPr>
          <w:lang w:val="en-US"/>
        </w:rPr>
        <w:t xml:space="preserve">, the base salary for women is 7 per cent lower than for men. Looking at total compensation for this category, the difference is somewhat greater (-15 per cent). The most significant factor here is that men in this category receive higher bonus payments than women in the category. On average, female salaried employees receive 26 per cent less in bonuses than men. This is probably </w:t>
      </w:r>
      <w:proofErr w:type="gramStart"/>
      <w:r w:rsidRPr="003C522C">
        <w:rPr>
          <w:lang w:val="en-US"/>
        </w:rPr>
        <w:t>due to the fact that</w:t>
      </w:r>
      <w:proofErr w:type="gramEnd"/>
      <w:r w:rsidRPr="003C522C">
        <w:rPr>
          <w:lang w:val="en-US"/>
        </w:rPr>
        <w:t xml:space="preserve"> there are more female salaried employees in so-called lower-paid salaried positions than there are men. It is also worth noting that here too there were more men who had relatively high bonus payments for the category, which pulls the average up and helps to account for the differences. </w:t>
      </w:r>
    </w:p>
    <w:p w14:paraId="4479E85C" w14:textId="77777777" w:rsidR="003C522C" w:rsidRPr="003C522C" w:rsidRDefault="003C522C" w:rsidP="003C522C">
      <w:pPr>
        <w:jc w:val="both"/>
        <w:rPr>
          <w:lang w:val="en-US"/>
        </w:rPr>
      </w:pPr>
      <w:r w:rsidRPr="003C522C">
        <w:rPr>
          <w:lang w:val="en-US"/>
        </w:rPr>
        <w:t xml:space="preserve">For the job category </w:t>
      </w:r>
      <w:r w:rsidRPr="003C522C">
        <w:rPr>
          <w:b/>
          <w:bCs/>
          <w:i/>
          <w:iCs/>
          <w:lang w:val="en-US"/>
        </w:rPr>
        <w:t xml:space="preserve">"Sales/marketing", the </w:t>
      </w:r>
      <w:r w:rsidRPr="003C522C">
        <w:rPr>
          <w:lang w:val="en-US"/>
        </w:rPr>
        <w:t xml:space="preserve">base salary for women is 20 per cent lower than for men. Looking at total compensation for this category, the difference is somewhat greater (-26 per cent). The difference is probably </w:t>
      </w:r>
      <w:proofErr w:type="gramStart"/>
      <w:r w:rsidRPr="003C522C">
        <w:rPr>
          <w:lang w:val="en-US"/>
        </w:rPr>
        <w:t>due to the fact that</w:t>
      </w:r>
      <w:proofErr w:type="gramEnd"/>
      <w:r w:rsidRPr="003C522C">
        <w:rPr>
          <w:lang w:val="en-US"/>
        </w:rPr>
        <w:t xml:space="preserve"> a number of positions in this category are held by men with long seniority. In addition, it should be noted that there are more men in Sales/Marketing who hold the higher positions with high fixed salaries than women (</w:t>
      </w:r>
      <w:proofErr w:type="gramStart"/>
      <w:r w:rsidRPr="003C522C">
        <w:rPr>
          <w:lang w:val="en-US"/>
        </w:rPr>
        <w:t>e.g.</w:t>
      </w:r>
      <w:proofErr w:type="gramEnd"/>
      <w:r w:rsidRPr="003C522C">
        <w:rPr>
          <w:lang w:val="en-US"/>
        </w:rPr>
        <w:t xml:space="preserve"> sales director, sales manager.) This correlation in terms of seniority/position level also applies when looking at bonus payments in this job category. Women in Sales/Marketing receive on average 74 per cent less bonus payments than men. It is also worth noting that there are some male managers in this group who have received high bonuses for 2022, far above the overall average. </w:t>
      </w:r>
    </w:p>
    <w:p w14:paraId="13D3D828" w14:textId="77777777" w:rsidR="003C522C" w:rsidRPr="003C522C" w:rsidRDefault="003C522C" w:rsidP="003C522C">
      <w:pPr>
        <w:jc w:val="both"/>
        <w:rPr>
          <w:lang w:val="en-US"/>
        </w:rPr>
      </w:pPr>
      <w:r w:rsidRPr="003C522C">
        <w:rPr>
          <w:lang w:val="en-US"/>
        </w:rPr>
        <w:t xml:space="preserve">In the </w:t>
      </w:r>
      <w:r w:rsidRPr="003C522C">
        <w:rPr>
          <w:b/>
          <w:bCs/>
          <w:i/>
          <w:iCs/>
          <w:lang w:val="en-US"/>
        </w:rPr>
        <w:t xml:space="preserve">"Operational" </w:t>
      </w:r>
      <w:r w:rsidRPr="003C522C">
        <w:rPr>
          <w:lang w:val="en-US"/>
        </w:rPr>
        <w:t xml:space="preserve">category, the average salary is 19 per cent lower for women than for men. Looking at total compensation in this category, the difference is somewhat smaller (-13 per cent). This is somewhat related to overtime supplements that more often accrue to men in job categories below "Operative". In relation to bonuses, women in this category receive on average 39 per cent less in bonuses than their male colleagues. The fact that there are relatively few women and some of them also have part-time jobs contributes greatly to this difference. </w:t>
      </w:r>
    </w:p>
    <w:p w14:paraId="41183BFD" w14:textId="77777777" w:rsidR="003C522C" w:rsidRPr="003C522C" w:rsidRDefault="003C522C" w:rsidP="003C522C">
      <w:pPr>
        <w:spacing w:before="0" w:after="120" w:line="312" w:lineRule="auto"/>
        <w:rPr>
          <w:lang w:val="en-US"/>
        </w:rPr>
      </w:pPr>
    </w:p>
    <w:p w14:paraId="59C2415C" w14:textId="77777777" w:rsidR="003C522C" w:rsidRPr="003C522C" w:rsidRDefault="003C522C" w:rsidP="003C522C">
      <w:pPr>
        <w:spacing w:before="0" w:after="120" w:line="312" w:lineRule="auto"/>
        <w:rPr>
          <w:lang w:val="en-US"/>
        </w:rPr>
      </w:pPr>
      <w:r w:rsidRPr="003C522C">
        <w:rPr>
          <w:lang w:val="en-US"/>
        </w:rPr>
        <w:br w:type="page"/>
      </w:r>
    </w:p>
    <w:p w14:paraId="0C524835" w14:textId="77777777" w:rsidR="003C522C" w:rsidRPr="003C522C" w:rsidRDefault="003C522C" w:rsidP="003C522C">
      <w:pPr>
        <w:jc w:val="both"/>
        <w:rPr>
          <w:lang w:val="en-US"/>
        </w:rPr>
      </w:pPr>
    </w:p>
    <w:p w14:paraId="4BA8CE4E" w14:textId="77777777" w:rsidR="003C522C" w:rsidRPr="003C522C" w:rsidRDefault="003C522C" w:rsidP="003C522C">
      <w:pPr>
        <w:pStyle w:val="Overskrift2"/>
        <w:jc w:val="both"/>
        <w:rPr>
          <w:lang w:val="en-US"/>
        </w:rPr>
      </w:pPr>
      <w:r w:rsidRPr="003C522C">
        <w:rPr>
          <w:lang w:val="en-US"/>
        </w:rPr>
        <w:t>NG Group's work for equality and against discrimination</w:t>
      </w:r>
    </w:p>
    <w:p w14:paraId="25FF50E4" w14:textId="77777777" w:rsidR="003C522C" w:rsidRPr="003C522C" w:rsidRDefault="003C522C" w:rsidP="003C522C">
      <w:pPr>
        <w:pStyle w:val="Overskrift3"/>
        <w:jc w:val="both"/>
        <w:rPr>
          <w:lang w:val="en-US"/>
        </w:rPr>
      </w:pPr>
      <w:r w:rsidRPr="003C522C">
        <w:rPr>
          <w:lang w:val="en-US"/>
        </w:rPr>
        <w:t>Principles, procedures and standards for equality and anti-discrimination work</w:t>
      </w:r>
    </w:p>
    <w:p w14:paraId="4ECF0A67" w14:textId="77777777" w:rsidR="003C522C" w:rsidRPr="003C522C" w:rsidRDefault="003C522C" w:rsidP="003C522C">
      <w:pPr>
        <w:spacing w:before="0"/>
        <w:contextualSpacing/>
        <w:jc w:val="both"/>
        <w:rPr>
          <w:color w:val="auto"/>
          <w:lang w:val="en-US"/>
        </w:rPr>
      </w:pPr>
    </w:p>
    <w:p w14:paraId="77CEE782" w14:textId="0B284BEF" w:rsidR="003C522C" w:rsidRPr="003C522C" w:rsidRDefault="003C522C" w:rsidP="003C522C">
      <w:pPr>
        <w:spacing w:before="0"/>
        <w:contextualSpacing/>
        <w:jc w:val="both"/>
        <w:rPr>
          <w:color w:val="auto"/>
          <w:lang w:val="en-US"/>
        </w:rPr>
      </w:pPr>
      <w:r w:rsidRPr="003C522C">
        <w:rPr>
          <w:color w:val="auto"/>
          <w:lang w:val="en-US"/>
        </w:rPr>
        <w:t>It is important that the Group's organi</w:t>
      </w:r>
      <w:r w:rsidR="005640F4">
        <w:rPr>
          <w:color w:val="auto"/>
          <w:lang w:val="en-US"/>
        </w:rPr>
        <w:t>z</w:t>
      </w:r>
      <w:r w:rsidRPr="003C522C">
        <w:rPr>
          <w:color w:val="auto"/>
          <w:lang w:val="en-US"/>
        </w:rPr>
        <w:t xml:space="preserve">ation and business activities reflect the customers and the market in which it operates. The Group aims to be a good workplace for everyone, regardless of background, and strives to have a diverse and inclusive work culture. All employees shall be treated equally, regardless of age, gender, disability, cultural background, religious </w:t>
      </w:r>
      <w:proofErr w:type="gramStart"/>
      <w:r w:rsidRPr="003C522C">
        <w:rPr>
          <w:color w:val="auto"/>
          <w:lang w:val="en-US"/>
        </w:rPr>
        <w:t>beliefs</w:t>
      </w:r>
      <w:proofErr w:type="gramEnd"/>
      <w:r w:rsidRPr="003C522C">
        <w:rPr>
          <w:color w:val="auto"/>
          <w:lang w:val="en-US"/>
        </w:rPr>
        <w:t xml:space="preserve"> or sexual orientation, both in recruitment processes and throughout the employment relationship. </w:t>
      </w:r>
    </w:p>
    <w:p w14:paraId="57945B1D" w14:textId="77777777" w:rsidR="003C522C" w:rsidRPr="003C522C" w:rsidRDefault="003C522C" w:rsidP="003C522C">
      <w:pPr>
        <w:spacing w:before="0"/>
        <w:contextualSpacing/>
        <w:jc w:val="both"/>
        <w:rPr>
          <w:color w:val="auto"/>
          <w:lang w:val="en-US"/>
        </w:rPr>
      </w:pPr>
    </w:p>
    <w:p w14:paraId="71784F29" w14:textId="77777777" w:rsidR="003C522C" w:rsidRPr="003C522C" w:rsidRDefault="003C522C" w:rsidP="003C522C">
      <w:pPr>
        <w:spacing w:before="0"/>
        <w:contextualSpacing/>
        <w:jc w:val="both"/>
        <w:rPr>
          <w:color w:val="auto"/>
          <w:lang w:val="en-US"/>
        </w:rPr>
      </w:pPr>
      <w:r w:rsidRPr="003C522C">
        <w:rPr>
          <w:color w:val="auto"/>
          <w:lang w:val="en-US"/>
        </w:rPr>
        <w:t>The Group has zero tolerance for harassment and discrimination. The Group works actively and purposefully to promote the objectives of the Gender Equality Act. These activities include recruitment, pay and working conditions, promotion, facilitation, opportunities to combine work and family life, development opportunities and protection against harassment.</w:t>
      </w:r>
    </w:p>
    <w:p w14:paraId="2F81B9C1" w14:textId="77777777" w:rsidR="003C522C" w:rsidRPr="003C522C" w:rsidRDefault="003C522C" w:rsidP="003C522C">
      <w:pPr>
        <w:spacing w:before="0"/>
        <w:contextualSpacing/>
        <w:jc w:val="both"/>
        <w:rPr>
          <w:b/>
          <w:bCs/>
          <w:i/>
          <w:iCs/>
          <w:color w:val="767171" w:themeColor="background2" w:themeShade="80"/>
          <w:lang w:val="en-US"/>
        </w:rPr>
      </w:pPr>
    </w:p>
    <w:p w14:paraId="1EBFDD48" w14:textId="77777777" w:rsidR="003C522C" w:rsidRPr="003C522C" w:rsidRDefault="003C522C" w:rsidP="003C522C">
      <w:pPr>
        <w:pStyle w:val="Overskrift4"/>
        <w:jc w:val="both"/>
        <w:rPr>
          <w:lang w:val="en-US"/>
        </w:rPr>
      </w:pPr>
      <w:r w:rsidRPr="003C522C">
        <w:rPr>
          <w:lang w:val="en-US"/>
        </w:rPr>
        <w:t xml:space="preserve">NG Group's principles, </w:t>
      </w:r>
      <w:proofErr w:type="gramStart"/>
      <w:r w:rsidRPr="003C522C">
        <w:rPr>
          <w:lang w:val="en-US"/>
        </w:rPr>
        <w:t>procedures</w:t>
      </w:r>
      <w:proofErr w:type="gramEnd"/>
      <w:r w:rsidRPr="003C522C">
        <w:rPr>
          <w:lang w:val="en-US"/>
        </w:rPr>
        <w:t xml:space="preserve"> and standards</w:t>
      </w:r>
    </w:p>
    <w:p w14:paraId="4198E787" w14:textId="63A79074" w:rsidR="003C522C" w:rsidRPr="003C522C" w:rsidRDefault="003C522C" w:rsidP="003C522C">
      <w:pPr>
        <w:pStyle w:val="Listeavsnitt"/>
        <w:numPr>
          <w:ilvl w:val="0"/>
          <w:numId w:val="7"/>
        </w:numPr>
        <w:spacing w:before="0"/>
        <w:jc w:val="both"/>
        <w:rPr>
          <w:b/>
          <w:bCs/>
          <w:color w:val="auto"/>
          <w:lang w:val="en-US"/>
        </w:rPr>
      </w:pPr>
      <w:r w:rsidRPr="003C522C">
        <w:rPr>
          <w:color w:val="auto"/>
          <w:lang w:val="en-US"/>
        </w:rPr>
        <w:t>Gender equality work is embedded in the organi</w:t>
      </w:r>
      <w:r w:rsidR="005640F4">
        <w:rPr>
          <w:color w:val="auto"/>
          <w:lang w:val="en-US"/>
        </w:rPr>
        <w:t>za</w:t>
      </w:r>
      <w:r w:rsidRPr="003C522C">
        <w:rPr>
          <w:color w:val="auto"/>
          <w:lang w:val="en-US"/>
        </w:rPr>
        <w:t xml:space="preserve">tion's various strategies, </w:t>
      </w:r>
      <w:proofErr w:type="gramStart"/>
      <w:r w:rsidRPr="003C522C">
        <w:rPr>
          <w:color w:val="auto"/>
          <w:lang w:val="en-US"/>
        </w:rPr>
        <w:t>tools</w:t>
      </w:r>
      <w:proofErr w:type="gramEnd"/>
      <w:r w:rsidRPr="003C522C">
        <w:rPr>
          <w:color w:val="auto"/>
          <w:lang w:val="en-US"/>
        </w:rPr>
        <w:t xml:space="preserve"> and guidelines.</w:t>
      </w:r>
    </w:p>
    <w:p w14:paraId="21F6EDC0" w14:textId="77777777" w:rsidR="003C522C" w:rsidRPr="003C522C" w:rsidRDefault="003C522C" w:rsidP="003C522C">
      <w:pPr>
        <w:pStyle w:val="Listeavsnitt"/>
        <w:numPr>
          <w:ilvl w:val="0"/>
          <w:numId w:val="7"/>
        </w:numPr>
        <w:spacing w:before="0"/>
        <w:jc w:val="both"/>
        <w:rPr>
          <w:color w:val="auto"/>
          <w:lang w:val="en-US"/>
        </w:rPr>
      </w:pPr>
      <w:r w:rsidRPr="003C522C">
        <w:rPr>
          <w:color w:val="auto"/>
          <w:lang w:val="en-US"/>
        </w:rPr>
        <w:t xml:space="preserve">The Code of Conduct for employees in NG Group sets requirements for personal </w:t>
      </w:r>
      <w:proofErr w:type="spellStart"/>
      <w:r w:rsidRPr="003C522C">
        <w:rPr>
          <w:color w:val="auto"/>
          <w:lang w:val="en-US"/>
        </w:rPr>
        <w:t>behaviour</w:t>
      </w:r>
      <w:proofErr w:type="spellEnd"/>
      <w:r w:rsidRPr="003C522C">
        <w:rPr>
          <w:color w:val="auto"/>
          <w:lang w:val="en-US"/>
        </w:rPr>
        <w:t xml:space="preserve"> and shows zero tolerance for discrimination or harassment in the workplace.</w:t>
      </w:r>
    </w:p>
    <w:p w14:paraId="190BB213" w14:textId="77777777" w:rsidR="003C522C" w:rsidRPr="003C522C" w:rsidRDefault="003C522C" w:rsidP="003C522C">
      <w:pPr>
        <w:pStyle w:val="Listeavsnitt"/>
        <w:numPr>
          <w:ilvl w:val="0"/>
          <w:numId w:val="7"/>
        </w:numPr>
        <w:spacing w:before="0"/>
        <w:jc w:val="both"/>
        <w:rPr>
          <w:color w:val="auto"/>
          <w:lang w:val="en-US"/>
        </w:rPr>
      </w:pPr>
      <w:r w:rsidRPr="003C522C">
        <w:rPr>
          <w:color w:val="auto"/>
          <w:lang w:val="en-US"/>
        </w:rPr>
        <w:t xml:space="preserve">A whistleblowing system ensures that internal and external stakeholders can report discrimination, harassment, sexual </w:t>
      </w:r>
      <w:proofErr w:type="gramStart"/>
      <w:r w:rsidRPr="003C522C">
        <w:rPr>
          <w:color w:val="auto"/>
          <w:lang w:val="en-US"/>
        </w:rPr>
        <w:t>harassment</w:t>
      </w:r>
      <w:proofErr w:type="gramEnd"/>
      <w:r w:rsidRPr="003C522C">
        <w:rPr>
          <w:color w:val="auto"/>
          <w:lang w:val="en-US"/>
        </w:rPr>
        <w:t xml:space="preserve"> and gender-based violence. </w:t>
      </w:r>
    </w:p>
    <w:p w14:paraId="70BB35C7" w14:textId="77777777" w:rsidR="003C522C" w:rsidRPr="003C522C" w:rsidRDefault="003C522C" w:rsidP="003C522C">
      <w:pPr>
        <w:pStyle w:val="Listeavsnitt"/>
        <w:numPr>
          <w:ilvl w:val="0"/>
          <w:numId w:val="7"/>
        </w:numPr>
        <w:spacing w:before="0"/>
        <w:jc w:val="both"/>
        <w:rPr>
          <w:b/>
          <w:bCs/>
          <w:color w:val="auto"/>
          <w:lang w:val="en-US"/>
        </w:rPr>
      </w:pPr>
      <w:r w:rsidRPr="003C522C">
        <w:rPr>
          <w:color w:val="auto"/>
          <w:lang w:val="en-US"/>
        </w:rPr>
        <w:t>Consideration of equality and non-discrimination is included in other personnel policies.</w:t>
      </w:r>
    </w:p>
    <w:p w14:paraId="590AF9F2" w14:textId="77777777" w:rsidR="003C522C" w:rsidRPr="003C522C" w:rsidRDefault="003C522C" w:rsidP="003C522C">
      <w:pPr>
        <w:spacing w:before="0"/>
        <w:contextualSpacing/>
        <w:jc w:val="both"/>
        <w:rPr>
          <w:color w:val="auto"/>
          <w:lang w:val="en-US"/>
        </w:rPr>
      </w:pPr>
    </w:p>
    <w:p w14:paraId="15238D10" w14:textId="4081905C" w:rsidR="003C522C" w:rsidRPr="003C522C" w:rsidRDefault="003C522C" w:rsidP="003C522C">
      <w:pPr>
        <w:spacing w:before="0"/>
        <w:contextualSpacing/>
        <w:jc w:val="both"/>
        <w:rPr>
          <w:b/>
          <w:bCs/>
          <w:i/>
          <w:iCs/>
          <w:color w:val="767171" w:themeColor="background2" w:themeShade="80"/>
          <w:lang w:val="en-US"/>
        </w:rPr>
      </w:pPr>
      <w:r w:rsidRPr="003C522C">
        <w:rPr>
          <w:color w:val="auto"/>
          <w:lang w:val="en-US"/>
        </w:rPr>
        <w:t xml:space="preserve">At the end of 2023, the NG Group had employees representing a total of 45 different nationalities, including companies outside Norway. The company works actively with integration through involvement, language training, cultural </w:t>
      </w:r>
      <w:proofErr w:type="gramStart"/>
      <w:r w:rsidRPr="003C522C">
        <w:rPr>
          <w:color w:val="auto"/>
          <w:lang w:val="en-US"/>
        </w:rPr>
        <w:t>understanding</w:t>
      </w:r>
      <w:proofErr w:type="gramEnd"/>
      <w:r w:rsidRPr="003C522C">
        <w:rPr>
          <w:color w:val="auto"/>
          <w:lang w:val="en-US"/>
        </w:rPr>
        <w:t xml:space="preserve"> and organi</w:t>
      </w:r>
      <w:r w:rsidR="00CA48B0">
        <w:rPr>
          <w:color w:val="auto"/>
          <w:lang w:val="en-US"/>
        </w:rPr>
        <w:t>z</w:t>
      </w:r>
      <w:r w:rsidRPr="003C522C">
        <w:rPr>
          <w:color w:val="auto"/>
          <w:lang w:val="en-US"/>
        </w:rPr>
        <w:t>ation.</w:t>
      </w:r>
      <w:r w:rsidRPr="003C522C">
        <w:rPr>
          <w:b/>
          <w:bCs/>
          <w:color w:val="767171" w:themeColor="background2" w:themeShade="80"/>
          <w:lang w:val="en-US"/>
        </w:rPr>
        <w:br/>
      </w:r>
    </w:p>
    <w:p w14:paraId="0FE7519E" w14:textId="77777777" w:rsidR="003C522C" w:rsidRPr="003C522C" w:rsidRDefault="003C522C" w:rsidP="003C522C">
      <w:pPr>
        <w:pStyle w:val="Overskrift4"/>
        <w:jc w:val="both"/>
        <w:rPr>
          <w:lang w:val="en-US"/>
        </w:rPr>
      </w:pPr>
      <w:r w:rsidRPr="003C522C">
        <w:rPr>
          <w:lang w:val="en-US"/>
        </w:rPr>
        <w:t>Implementation of gender equality work in NG Group</w:t>
      </w:r>
    </w:p>
    <w:p w14:paraId="3832D3B8" w14:textId="77777777" w:rsidR="003C522C" w:rsidRPr="003C522C" w:rsidRDefault="003C522C" w:rsidP="003C522C">
      <w:pPr>
        <w:spacing w:before="0"/>
        <w:jc w:val="both"/>
        <w:rPr>
          <w:color w:val="auto"/>
          <w:highlight w:val="yellow"/>
          <w:lang w:val="en-US"/>
        </w:rPr>
      </w:pPr>
      <w:r w:rsidRPr="003C522C">
        <w:rPr>
          <w:color w:val="auto"/>
          <w:lang w:val="en-US"/>
        </w:rPr>
        <w:t xml:space="preserve">Gender equality work in the Group is a responsibility assigned to positions with personnel responsibility and is handled by the various companies in NG Group. </w:t>
      </w:r>
    </w:p>
    <w:p w14:paraId="10F111F6" w14:textId="77777777" w:rsidR="003C522C" w:rsidRPr="003C522C" w:rsidRDefault="003C522C" w:rsidP="003C522C">
      <w:pPr>
        <w:spacing w:before="0"/>
        <w:jc w:val="both"/>
        <w:rPr>
          <w:color w:val="auto"/>
          <w:highlight w:val="yellow"/>
          <w:lang w:val="en-US"/>
        </w:rPr>
      </w:pPr>
    </w:p>
    <w:p w14:paraId="0B4AD539" w14:textId="77777777" w:rsidR="003C522C" w:rsidRPr="003C522C" w:rsidRDefault="003C522C" w:rsidP="003C522C">
      <w:pPr>
        <w:tabs>
          <w:tab w:val="left" w:pos="709"/>
        </w:tabs>
        <w:spacing w:before="0"/>
        <w:contextualSpacing/>
        <w:jc w:val="both"/>
        <w:rPr>
          <w:color w:val="auto"/>
          <w:lang w:val="en-US"/>
        </w:rPr>
      </w:pPr>
      <w:r w:rsidRPr="003C522C">
        <w:rPr>
          <w:color w:val="auto"/>
          <w:lang w:val="en-US"/>
        </w:rPr>
        <w:t xml:space="preserve">The mapping of the state of gender equality is coordinated at Group level, with data contributions from the individual companies. Data from the survey is regularly discussed with the Group employee representative and local data with local employee representatives. </w:t>
      </w:r>
    </w:p>
    <w:p w14:paraId="50E2B0CA" w14:textId="77777777" w:rsidR="003C522C" w:rsidRPr="003C522C" w:rsidRDefault="003C522C" w:rsidP="003C522C">
      <w:pPr>
        <w:tabs>
          <w:tab w:val="left" w:pos="709"/>
        </w:tabs>
        <w:spacing w:before="0"/>
        <w:contextualSpacing/>
        <w:jc w:val="both"/>
        <w:rPr>
          <w:lang w:val="en-US"/>
        </w:rPr>
      </w:pPr>
    </w:p>
    <w:p w14:paraId="23A5215B" w14:textId="77777777" w:rsidR="003C522C" w:rsidRPr="003C522C" w:rsidRDefault="003C522C" w:rsidP="003C522C">
      <w:pPr>
        <w:tabs>
          <w:tab w:val="left" w:pos="709"/>
        </w:tabs>
        <w:spacing w:before="0"/>
        <w:contextualSpacing/>
        <w:jc w:val="both"/>
        <w:rPr>
          <w:lang w:val="en-US"/>
        </w:rPr>
      </w:pPr>
      <w:r w:rsidRPr="003C522C">
        <w:rPr>
          <w:lang w:val="en-US"/>
        </w:rPr>
        <w:t xml:space="preserve">NG Group is included as part of Summa Equity's portfolio. Based on this, the Group reports annually on selected data on gender, HSE and salary, which ensures that the Group ensures annual activity within mapping in accordance with the Activity and Reporting obligation. </w:t>
      </w:r>
    </w:p>
    <w:p w14:paraId="10FD7016" w14:textId="77777777" w:rsidR="003C522C" w:rsidRPr="003C522C" w:rsidRDefault="003C522C" w:rsidP="003C522C">
      <w:pPr>
        <w:tabs>
          <w:tab w:val="left" w:pos="709"/>
        </w:tabs>
        <w:spacing w:before="0"/>
        <w:contextualSpacing/>
        <w:jc w:val="both"/>
        <w:rPr>
          <w:lang w:val="en-US"/>
        </w:rPr>
      </w:pPr>
    </w:p>
    <w:p w14:paraId="65C1AF2B" w14:textId="2B25C40D" w:rsidR="003C522C" w:rsidRPr="003C522C" w:rsidRDefault="003C522C" w:rsidP="003C522C">
      <w:pPr>
        <w:tabs>
          <w:tab w:val="left" w:pos="709"/>
        </w:tabs>
        <w:spacing w:before="0"/>
        <w:contextualSpacing/>
        <w:jc w:val="both"/>
        <w:rPr>
          <w:lang w:val="en-US"/>
        </w:rPr>
      </w:pPr>
      <w:r w:rsidRPr="003C522C">
        <w:rPr>
          <w:lang w:val="en-US"/>
        </w:rPr>
        <w:t>From 2022, the Group has used a new key performance indicator to follow up and measure the proportion of women in the job categories "managers outside operations and speciali</w:t>
      </w:r>
      <w:r w:rsidR="00CA48B0">
        <w:rPr>
          <w:lang w:val="en-US"/>
        </w:rPr>
        <w:t>z</w:t>
      </w:r>
      <w:r w:rsidRPr="003C522C">
        <w:rPr>
          <w:lang w:val="en-US"/>
        </w:rPr>
        <w:t xml:space="preserve">ed functions". This new indicator is linked to the Group's "Sustainability Linked Loan". This means that NG Group </w:t>
      </w:r>
      <w:r w:rsidRPr="003C522C">
        <w:rPr>
          <w:lang w:val="en-US"/>
        </w:rPr>
        <w:lastRenderedPageBreak/>
        <w:t xml:space="preserve">links loans and loan terms directly to the achievement of selected sustainability indicators, four in total. One of these is linked to the percentage of women in "specialist functions and management roles outside operations". In 2022, there were 29.5 per cent women in management and specialist positions. As </w:t>
      </w:r>
      <w:r w:rsidR="00CA48B0">
        <w:rPr>
          <w:lang w:val="en-US"/>
        </w:rPr>
        <w:t>of</w:t>
      </w:r>
      <w:r w:rsidRPr="003C522C">
        <w:rPr>
          <w:lang w:val="en-US"/>
        </w:rPr>
        <w:t xml:space="preserve"> 31 December 2017, the figure was 33 per cent (including employees in non-Norwegian companies). The Group is well ahead of the Group's target for 2023 of 30.6 per cent. The long-term target for this KPI is 40 per cent women in "specialist functions and management roles outside operations" in 2027.</w:t>
      </w:r>
    </w:p>
    <w:p w14:paraId="5269E0C8" w14:textId="77777777" w:rsidR="003C522C" w:rsidRPr="003C522C" w:rsidRDefault="003C522C" w:rsidP="003C522C">
      <w:pPr>
        <w:spacing w:before="0"/>
        <w:jc w:val="both"/>
        <w:rPr>
          <w:b/>
          <w:bCs/>
          <w:color w:val="767171" w:themeColor="background2" w:themeShade="80"/>
          <w:lang w:val="en-US"/>
        </w:rPr>
      </w:pPr>
    </w:p>
    <w:p w14:paraId="42E14288" w14:textId="77777777" w:rsidR="003C522C" w:rsidRDefault="003C522C" w:rsidP="003C522C">
      <w:pPr>
        <w:contextualSpacing/>
        <w:rPr>
          <w:color w:val="auto"/>
        </w:rPr>
      </w:pPr>
      <w:r w:rsidRPr="003C522C">
        <w:rPr>
          <w:rFonts w:asciiTheme="majorHAnsi" w:eastAsiaTheme="majorEastAsia" w:hAnsiTheme="majorHAnsi" w:cstheme="majorBidi"/>
          <w:i/>
          <w:iCs/>
          <w:color w:val="7BA88B" w:themeColor="accent1" w:themeShade="BF"/>
          <w:lang w:val="en-US"/>
        </w:rPr>
        <w:t>Activities in 2023 to map risk</w:t>
      </w:r>
      <w:r w:rsidRPr="003C522C">
        <w:rPr>
          <w:b/>
          <w:bCs/>
          <w:color w:val="auto"/>
          <w:lang w:val="en-US"/>
        </w:rPr>
        <w:br/>
      </w:r>
      <w:r w:rsidRPr="003C522C">
        <w:rPr>
          <w:color w:val="auto"/>
          <w:lang w:val="en-US"/>
        </w:rPr>
        <w:t xml:space="preserve">In 2023, a survey was conducted among the Group's female employees. The survey had a good response rate (209/352 - 59 per cent) and provided important feedback for </w:t>
      </w:r>
      <w:proofErr w:type="spellStart"/>
      <w:r w:rsidRPr="003C522C">
        <w:rPr>
          <w:color w:val="auto"/>
          <w:lang w:val="en-US"/>
        </w:rPr>
        <w:t>prioritising</w:t>
      </w:r>
      <w:proofErr w:type="spellEnd"/>
      <w:r w:rsidRPr="003C522C">
        <w:rPr>
          <w:color w:val="auto"/>
          <w:lang w:val="en-US"/>
        </w:rPr>
        <w:t xml:space="preserve"> measures for this group.  This resulted in several different adjustments, which are mentioned in the measures below</w:t>
      </w:r>
      <w:r w:rsidRPr="003C522C">
        <w:rPr>
          <w:rFonts w:eastAsia="Times New Roman"/>
          <w:lang w:val="en-US"/>
        </w:rPr>
        <w:t xml:space="preserve">. </w:t>
      </w:r>
      <w:r w:rsidRPr="004B1539">
        <w:rPr>
          <w:color w:val="auto"/>
        </w:rPr>
        <w:t xml:space="preserve">This survey </w:t>
      </w:r>
      <w:proofErr w:type="spellStart"/>
      <w:r>
        <w:rPr>
          <w:color w:val="auto"/>
        </w:rPr>
        <w:t>will</w:t>
      </w:r>
      <w:proofErr w:type="spellEnd"/>
      <w:r>
        <w:rPr>
          <w:color w:val="auto"/>
        </w:rPr>
        <w:t xml:space="preserve"> be </w:t>
      </w:r>
      <w:proofErr w:type="spellStart"/>
      <w:r w:rsidRPr="004B1539">
        <w:rPr>
          <w:color w:val="auto"/>
        </w:rPr>
        <w:t>continued</w:t>
      </w:r>
      <w:proofErr w:type="spellEnd"/>
      <w:r w:rsidRPr="004B1539">
        <w:rPr>
          <w:color w:val="auto"/>
        </w:rPr>
        <w:t xml:space="preserve"> in 2024.</w:t>
      </w:r>
    </w:p>
    <w:p w14:paraId="56C22822" w14:textId="77777777" w:rsidR="003C522C" w:rsidRDefault="003C522C" w:rsidP="003C522C">
      <w:pPr>
        <w:contextualSpacing/>
        <w:jc w:val="both"/>
        <w:rPr>
          <w:color w:val="auto"/>
        </w:rPr>
      </w:pPr>
    </w:p>
    <w:p w14:paraId="718A7A30" w14:textId="77777777" w:rsidR="003C522C" w:rsidRPr="003C522C" w:rsidRDefault="003C522C" w:rsidP="003C522C">
      <w:pPr>
        <w:contextualSpacing/>
        <w:jc w:val="both"/>
        <w:rPr>
          <w:color w:val="auto"/>
          <w:lang w:val="en-US"/>
        </w:rPr>
      </w:pPr>
      <w:r w:rsidRPr="003C522C">
        <w:rPr>
          <w:color w:val="auto"/>
          <w:lang w:val="en-US"/>
        </w:rPr>
        <w:t>A new employee survey (EES) was introduced in 2023, where Diversity and Inclusion is a separate category. EES is followed up with dedicated working groups and development goals both at Group level and in each platform/company. Pulse surveys are also conducted regularly in several of the platforms in Norway.</w:t>
      </w:r>
    </w:p>
    <w:p w14:paraId="687E7B78" w14:textId="77777777" w:rsidR="003C522C" w:rsidRPr="003C522C" w:rsidRDefault="003C522C" w:rsidP="003C522C">
      <w:pPr>
        <w:contextualSpacing/>
        <w:jc w:val="both"/>
        <w:rPr>
          <w:color w:val="auto"/>
          <w:lang w:val="en-US"/>
        </w:rPr>
      </w:pPr>
    </w:p>
    <w:p w14:paraId="5753AA7F" w14:textId="77777777" w:rsidR="003C522C" w:rsidRPr="003C522C" w:rsidRDefault="003C522C" w:rsidP="003C522C">
      <w:pPr>
        <w:spacing w:before="0"/>
        <w:jc w:val="both"/>
        <w:rPr>
          <w:color w:val="auto"/>
          <w:lang w:val="en-US"/>
        </w:rPr>
      </w:pPr>
      <w:r w:rsidRPr="003C522C">
        <w:rPr>
          <w:color w:val="auto"/>
          <w:lang w:val="en-US"/>
        </w:rPr>
        <w:t xml:space="preserve">Trade union representatives have pointed out the risk of drivers being talked down to if they do not speak Norwegian. This shows the risk of discrimination based on ethnicity and origin. </w:t>
      </w:r>
    </w:p>
    <w:p w14:paraId="3FC0A64D" w14:textId="77777777" w:rsidR="003C522C" w:rsidRPr="003C522C" w:rsidRDefault="003C522C" w:rsidP="003C522C">
      <w:pPr>
        <w:spacing w:before="0"/>
        <w:rPr>
          <w:color w:val="auto"/>
          <w:lang w:val="en-US"/>
        </w:rPr>
      </w:pPr>
    </w:p>
    <w:p w14:paraId="5CB89B7B" w14:textId="77777777" w:rsidR="003C522C" w:rsidRPr="003C522C" w:rsidRDefault="003C522C" w:rsidP="003C522C">
      <w:pPr>
        <w:contextualSpacing/>
        <w:rPr>
          <w:color w:val="auto"/>
          <w:lang w:val="en-US"/>
        </w:rPr>
      </w:pPr>
      <w:r w:rsidRPr="003C522C">
        <w:rPr>
          <w:rFonts w:asciiTheme="majorHAnsi" w:eastAsiaTheme="majorEastAsia" w:hAnsiTheme="majorHAnsi" w:cstheme="majorBidi"/>
          <w:i/>
          <w:iCs/>
          <w:color w:val="7BA88B" w:themeColor="accent1" w:themeShade="BF"/>
          <w:lang w:val="en-US"/>
        </w:rPr>
        <w:t>Causes of risks and obstacles</w:t>
      </w:r>
      <w:r w:rsidRPr="003C522C">
        <w:rPr>
          <w:b/>
          <w:bCs/>
          <w:color w:val="auto"/>
          <w:lang w:val="en-US"/>
        </w:rPr>
        <w:br/>
      </w:r>
      <w:r w:rsidRPr="003C522C">
        <w:rPr>
          <w:color w:val="auto"/>
          <w:lang w:val="en-US"/>
        </w:rPr>
        <w:t xml:space="preserve">Employee representatives and management have identified the following possible causes of risks and </w:t>
      </w:r>
      <w:proofErr w:type="gramStart"/>
      <w:r w:rsidRPr="003C522C">
        <w:rPr>
          <w:color w:val="auto"/>
          <w:lang w:val="en-US"/>
        </w:rPr>
        <w:t>obstacles</w:t>
      </w:r>
      <w:proofErr w:type="gramEnd"/>
    </w:p>
    <w:p w14:paraId="3131B0C6" w14:textId="0688B17A" w:rsidR="003C522C" w:rsidRPr="003C522C" w:rsidRDefault="003C522C" w:rsidP="003C522C">
      <w:pPr>
        <w:pStyle w:val="Listeavsnitt"/>
        <w:numPr>
          <w:ilvl w:val="0"/>
          <w:numId w:val="10"/>
        </w:numPr>
        <w:spacing w:before="0"/>
        <w:jc w:val="both"/>
        <w:rPr>
          <w:b/>
          <w:bCs/>
          <w:color w:val="auto"/>
          <w:lang w:val="en-US"/>
        </w:rPr>
      </w:pPr>
      <w:r w:rsidRPr="003C522C">
        <w:rPr>
          <w:color w:val="auto"/>
          <w:lang w:val="en-US"/>
        </w:rPr>
        <w:t>The wage differences in different environments will be analy</w:t>
      </w:r>
      <w:r w:rsidR="000C694E">
        <w:rPr>
          <w:color w:val="auto"/>
          <w:lang w:val="en-US"/>
        </w:rPr>
        <w:t>z</w:t>
      </w:r>
      <w:r w:rsidRPr="003C522C">
        <w:rPr>
          <w:color w:val="auto"/>
          <w:lang w:val="en-US"/>
        </w:rPr>
        <w:t>ed further, with equal pay for equal work as a clear goal.</w:t>
      </w:r>
    </w:p>
    <w:p w14:paraId="5A5775C4" w14:textId="77777777" w:rsidR="003C522C" w:rsidRPr="003C522C" w:rsidRDefault="003C522C" w:rsidP="003C522C">
      <w:pPr>
        <w:pStyle w:val="Listeavsnitt"/>
        <w:numPr>
          <w:ilvl w:val="0"/>
          <w:numId w:val="10"/>
        </w:numPr>
        <w:spacing w:before="0"/>
        <w:jc w:val="both"/>
        <w:rPr>
          <w:b/>
          <w:bCs/>
          <w:color w:val="auto"/>
          <w:lang w:val="en-US"/>
        </w:rPr>
      </w:pPr>
      <w:r w:rsidRPr="003C522C">
        <w:rPr>
          <w:color w:val="auto"/>
          <w:lang w:val="en-US"/>
        </w:rPr>
        <w:t xml:space="preserve">There has been an attitude that several work operations require a lot of physical strength and are only suitable for men, but women can be employed in several of these operations. This must be </w:t>
      </w:r>
      <w:proofErr w:type="gramStart"/>
      <w:r w:rsidRPr="003C522C">
        <w:rPr>
          <w:color w:val="auto"/>
          <w:lang w:val="en-US"/>
        </w:rPr>
        <w:t>taken into account</w:t>
      </w:r>
      <w:proofErr w:type="gramEnd"/>
      <w:r w:rsidRPr="003C522C">
        <w:rPr>
          <w:color w:val="auto"/>
          <w:lang w:val="en-US"/>
        </w:rPr>
        <w:t xml:space="preserve"> when setting requirements in the recruitment processes for such roles.</w:t>
      </w:r>
    </w:p>
    <w:p w14:paraId="684DD83C" w14:textId="77777777" w:rsidR="003C522C" w:rsidRPr="003C522C" w:rsidRDefault="003C522C" w:rsidP="003C522C">
      <w:pPr>
        <w:pStyle w:val="Listeavsnitt"/>
        <w:numPr>
          <w:ilvl w:val="0"/>
          <w:numId w:val="10"/>
        </w:numPr>
        <w:spacing w:before="0"/>
        <w:jc w:val="both"/>
        <w:rPr>
          <w:b/>
          <w:bCs/>
          <w:color w:val="auto"/>
          <w:lang w:val="en-US"/>
        </w:rPr>
      </w:pPr>
      <w:r w:rsidRPr="003C522C">
        <w:rPr>
          <w:color w:val="auto"/>
          <w:lang w:val="en-US"/>
        </w:rPr>
        <w:t xml:space="preserve">The group may have a challenge with culture, </w:t>
      </w:r>
      <w:proofErr w:type="gramStart"/>
      <w:r w:rsidRPr="003C522C">
        <w:rPr>
          <w:color w:val="auto"/>
          <w:lang w:val="en-US"/>
        </w:rPr>
        <w:t>attitudes</w:t>
      </w:r>
      <w:proofErr w:type="gramEnd"/>
      <w:r w:rsidRPr="003C522C">
        <w:rPr>
          <w:color w:val="auto"/>
          <w:lang w:val="en-US"/>
        </w:rPr>
        <w:t xml:space="preserve"> and jargon in the workplace. We will continue to work actively on this. We have zero tolerance for discrimination.</w:t>
      </w:r>
    </w:p>
    <w:p w14:paraId="0D6D758E" w14:textId="77777777" w:rsidR="003C522C" w:rsidRPr="003C522C" w:rsidRDefault="003C522C" w:rsidP="003C522C">
      <w:pPr>
        <w:spacing w:before="0"/>
        <w:jc w:val="both"/>
        <w:rPr>
          <w:b/>
          <w:bCs/>
          <w:color w:val="auto"/>
          <w:lang w:val="en-US"/>
        </w:rPr>
      </w:pPr>
    </w:p>
    <w:p w14:paraId="3B437073" w14:textId="77777777" w:rsidR="003C522C" w:rsidRDefault="003C522C" w:rsidP="003C522C">
      <w:pPr>
        <w:spacing w:before="0"/>
        <w:rPr>
          <w:b/>
          <w:bCs/>
          <w:color w:val="auto"/>
        </w:rPr>
      </w:pPr>
      <w:proofErr w:type="spellStart"/>
      <w:r w:rsidRPr="00A3516F">
        <w:rPr>
          <w:rFonts w:asciiTheme="majorHAnsi" w:eastAsiaTheme="majorEastAsia" w:hAnsiTheme="majorHAnsi" w:cstheme="majorBidi"/>
          <w:i/>
          <w:iCs/>
          <w:color w:val="7BA88B" w:themeColor="accent1" w:themeShade="BF"/>
        </w:rPr>
        <w:t>Measures</w:t>
      </w:r>
      <w:proofErr w:type="spellEnd"/>
      <w:r w:rsidRPr="00A3516F">
        <w:rPr>
          <w:rFonts w:asciiTheme="majorHAnsi" w:eastAsiaTheme="majorEastAsia" w:hAnsiTheme="majorHAnsi" w:cstheme="majorBidi"/>
          <w:i/>
          <w:iCs/>
          <w:color w:val="7BA88B" w:themeColor="accent1" w:themeShade="BF"/>
        </w:rPr>
        <w:t xml:space="preserve"> </w:t>
      </w:r>
      <w:proofErr w:type="spellStart"/>
      <w:r>
        <w:rPr>
          <w:rFonts w:asciiTheme="majorHAnsi" w:eastAsiaTheme="majorEastAsia" w:hAnsiTheme="majorHAnsi" w:cstheme="majorBidi"/>
          <w:i/>
          <w:iCs/>
          <w:color w:val="7BA88B" w:themeColor="accent1" w:themeShade="BF"/>
        </w:rPr>
        <w:t>introduced</w:t>
      </w:r>
      <w:proofErr w:type="spellEnd"/>
      <w:r>
        <w:rPr>
          <w:rFonts w:asciiTheme="majorHAnsi" w:eastAsiaTheme="majorEastAsia" w:hAnsiTheme="majorHAnsi" w:cstheme="majorBidi"/>
          <w:i/>
          <w:iCs/>
          <w:color w:val="7BA88B" w:themeColor="accent1" w:themeShade="BF"/>
        </w:rPr>
        <w:t xml:space="preserve"> </w:t>
      </w:r>
      <w:r w:rsidRPr="00A3516F">
        <w:rPr>
          <w:rFonts w:asciiTheme="majorHAnsi" w:eastAsiaTheme="majorEastAsia" w:hAnsiTheme="majorHAnsi" w:cstheme="majorBidi"/>
          <w:i/>
          <w:iCs/>
          <w:color w:val="7BA88B" w:themeColor="accent1" w:themeShade="BF"/>
        </w:rPr>
        <w:t xml:space="preserve">in </w:t>
      </w:r>
      <w:r w:rsidRPr="00A3516F">
        <w:rPr>
          <w:b/>
          <w:bCs/>
          <w:color w:val="auto"/>
        </w:rPr>
        <w:t xml:space="preserve">2023 </w:t>
      </w:r>
    </w:p>
    <w:p w14:paraId="253DB788" w14:textId="77777777" w:rsidR="003C522C" w:rsidRPr="003C522C" w:rsidRDefault="003C522C" w:rsidP="003C522C">
      <w:pPr>
        <w:pStyle w:val="Listeavsnitt"/>
        <w:numPr>
          <w:ilvl w:val="0"/>
          <w:numId w:val="39"/>
        </w:numPr>
        <w:spacing w:before="0"/>
        <w:rPr>
          <w:color w:val="auto"/>
          <w:lang w:val="en-US"/>
        </w:rPr>
      </w:pPr>
      <w:r w:rsidRPr="003C522C">
        <w:rPr>
          <w:rFonts w:eastAsia="Times New Roman"/>
          <w:lang w:val="en-US"/>
        </w:rPr>
        <w:t xml:space="preserve">The quarantine period of one year to receive full pay during parental leave has been removed. </w:t>
      </w:r>
    </w:p>
    <w:p w14:paraId="4BB6A862" w14:textId="77777777" w:rsidR="003C522C" w:rsidRPr="003C522C" w:rsidRDefault="003C522C" w:rsidP="003C522C">
      <w:pPr>
        <w:pStyle w:val="Listeavsnitt"/>
        <w:numPr>
          <w:ilvl w:val="0"/>
          <w:numId w:val="39"/>
        </w:numPr>
        <w:spacing w:before="0"/>
        <w:rPr>
          <w:color w:val="auto"/>
          <w:lang w:val="en-US"/>
        </w:rPr>
      </w:pPr>
      <w:r w:rsidRPr="003C522C">
        <w:rPr>
          <w:color w:val="auto"/>
          <w:lang w:val="en-US"/>
        </w:rPr>
        <w:t xml:space="preserve">For employees with a bonus agreement, statutory absence in connection with parental leave shall </w:t>
      </w:r>
      <w:r w:rsidRPr="003C522C">
        <w:rPr>
          <w:rFonts w:eastAsia="Times New Roman"/>
          <w:lang w:val="en-US"/>
        </w:rPr>
        <w:t xml:space="preserve">not result in a reduction of the bonus. This applies to the weeks that are statutory for the mother or father, respectively. For parental leave beyond the current 15 weeks. 15 weeks, the bonus is reduced by 50 per cent during this time. Where the calculation of bonus is also based on personal goals, this is replaced by an average calculation of personal goal achievement in the unit. </w:t>
      </w:r>
    </w:p>
    <w:p w14:paraId="3966987C" w14:textId="77777777" w:rsidR="003C522C" w:rsidRPr="003C522C" w:rsidRDefault="003C522C" w:rsidP="003C522C">
      <w:pPr>
        <w:pStyle w:val="Listeavsnitt"/>
        <w:numPr>
          <w:ilvl w:val="0"/>
          <w:numId w:val="37"/>
        </w:numPr>
        <w:jc w:val="both"/>
        <w:rPr>
          <w:color w:val="auto"/>
          <w:lang w:val="en-US"/>
        </w:rPr>
      </w:pPr>
      <w:r w:rsidRPr="003C522C">
        <w:rPr>
          <w:color w:val="auto"/>
          <w:lang w:val="en-US"/>
        </w:rPr>
        <w:t xml:space="preserve">It shall be ensured that employees on parental leave are paid the general salary supplement. </w:t>
      </w:r>
    </w:p>
    <w:p w14:paraId="2FF4A191" w14:textId="77777777" w:rsidR="003C522C" w:rsidRDefault="003C522C" w:rsidP="003C522C">
      <w:pPr>
        <w:pStyle w:val="Listeavsnitt"/>
        <w:numPr>
          <w:ilvl w:val="0"/>
          <w:numId w:val="37"/>
        </w:numPr>
        <w:jc w:val="both"/>
        <w:rPr>
          <w:color w:val="auto"/>
        </w:rPr>
      </w:pPr>
      <w:r w:rsidRPr="003C522C">
        <w:rPr>
          <w:color w:val="auto"/>
          <w:lang w:val="en-US"/>
        </w:rPr>
        <w:t xml:space="preserve">In connection with the annual review of employees' salaries, a salary assessment of equal pay for the same work and/or work of equal value shall be carried out. </w:t>
      </w:r>
      <w:r w:rsidRPr="00A1264D">
        <w:rPr>
          <w:color w:val="auto"/>
        </w:rPr>
        <w:t xml:space="preserve">It must be </w:t>
      </w:r>
      <w:proofErr w:type="spellStart"/>
      <w:r w:rsidRPr="00A1264D">
        <w:rPr>
          <w:color w:val="auto"/>
        </w:rPr>
        <w:t>possible</w:t>
      </w:r>
      <w:proofErr w:type="spellEnd"/>
      <w:r w:rsidRPr="00A1264D">
        <w:rPr>
          <w:color w:val="auto"/>
        </w:rPr>
        <w:t xml:space="preserve"> to </w:t>
      </w:r>
      <w:proofErr w:type="spellStart"/>
      <w:r w:rsidRPr="00A1264D">
        <w:rPr>
          <w:color w:val="auto"/>
        </w:rPr>
        <w:t>document</w:t>
      </w:r>
      <w:proofErr w:type="spellEnd"/>
      <w:r w:rsidRPr="00A1264D">
        <w:rPr>
          <w:color w:val="auto"/>
        </w:rPr>
        <w:t xml:space="preserve"> </w:t>
      </w:r>
      <w:proofErr w:type="spellStart"/>
      <w:r w:rsidRPr="00A1264D">
        <w:rPr>
          <w:color w:val="auto"/>
        </w:rPr>
        <w:t>the</w:t>
      </w:r>
      <w:proofErr w:type="spellEnd"/>
      <w:r w:rsidRPr="00A1264D">
        <w:rPr>
          <w:color w:val="auto"/>
        </w:rPr>
        <w:t xml:space="preserve"> </w:t>
      </w:r>
      <w:proofErr w:type="spellStart"/>
      <w:r w:rsidRPr="00A1264D">
        <w:rPr>
          <w:color w:val="auto"/>
        </w:rPr>
        <w:t>review</w:t>
      </w:r>
      <w:proofErr w:type="spellEnd"/>
      <w:r w:rsidRPr="00A1264D">
        <w:rPr>
          <w:color w:val="auto"/>
        </w:rPr>
        <w:t>.</w:t>
      </w:r>
    </w:p>
    <w:p w14:paraId="56E70D51" w14:textId="73DE4347" w:rsidR="003C522C" w:rsidRPr="003C522C" w:rsidRDefault="003C522C" w:rsidP="003C522C">
      <w:pPr>
        <w:pStyle w:val="Listeavsnitt"/>
        <w:numPr>
          <w:ilvl w:val="0"/>
          <w:numId w:val="37"/>
        </w:numPr>
        <w:jc w:val="both"/>
        <w:rPr>
          <w:color w:val="auto"/>
          <w:lang w:val="en-US"/>
        </w:rPr>
      </w:pPr>
      <w:r w:rsidRPr="003C522C">
        <w:rPr>
          <w:color w:val="auto"/>
          <w:lang w:val="en-US"/>
        </w:rPr>
        <w:lastRenderedPageBreak/>
        <w:t xml:space="preserve">NG Group has decided on a new Engagement KPI for the Group's bonus program. Data for this KPI is collected from indicators in the Employee Engagement Survey (EES). Diversity, </w:t>
      </w:r>
      <w:proofErr w:type="gramStart"/>
      <w:r w:rsidRPr="003C522C">
        <w:rPr>
          <w:color w:val="auto"/>
          <w:lang w:val="en-US"/>
        </w:rPr>
        <w:t>inclusion</w:t>
      </w:r>
      <w:proofErr w:type="gramEnd"/>
      <w:r w:rsidRPr="003C522C">
        <w:rPr>
          <w:color w:val="auto"/>
          <w:lang w:val="en-US"/>
        </w:rPr>
        <w:t xml:space="preserve"> and well-being are important indicators for this KPI. </w:t>
      </w:r>
    </w:p>
    <w:p w14:paraId="78F6CDDD" w14:textId="00571898" w:rsidR="003C522C" w:rsidRPr="003C522C" w:rsidRDefault="003C522C" w:rsidP="003C522C">
      <w:pPr>
        <w:pStyle w:val="Listeavsnitt"/>
        <w:numPr>
          <w:ilvl w:val="0"/>
          <w:numId w:val="37"/>
        </w:numPr>
        <w:jc w:val="both"/>
        <w:rPr>
          <w:color w:val="auto"/>
          <w:lang w:val="en-US"/>
        </w:rPr>
      </w:pPr>
      <w:r w:rsidRPr="003C522C">
        <w:rPr>
          <w:color w:val="auto"/>
          <w:lang w:val="en-US"/>
        </w:rPr>
        <w:t xml:space="preserve">Leadership development programs at all levels shall include training and awareness of diversity and inclusion. </w:t>
      </w:r>
    </w:p>
    <w:p w14:paraId="2F4497A3" w14:textId="77777777" w:rsidR="003C522C" w:rsidRPr="003C522C" w:rsidRDefault="003C522C" w:rsidP="003C522C">
      <w:pPr>
        <w:pStyle w:val="Listeavsnitt"/>
        <w:numPr>
          <w:ilvl w:val="0"/>
          <w:numId w:val="37"/>
        </w:numPr>
        <w:jc w:val="both"/>
        <w:rPr>
          <w:color w:val="auto"/>
          <w:lang w:val="en-US"/>
        </w:rPr>
      </w:pPr>
      <w:r w:rsidRPr="003C522C">
        <w:rPr>
          <w:color w:val="auto"/>
          <w:lang w:val="en-US"/>
        </w:rPr>
        <w:t>When hiring managers and specialists, at least one woman shall, where possible, be included in the final round. If recruitment companies are used, they must be informed of the policy.</w:t>
      </w:r>
    </w:p>
    <w:p w14:paraId="757A27E5" w14:textId="36712F1F" w:rsidR="003C522C" w:rsidRPr="003C522C" w:rsidRDefault="003C522C" w:rsidP="003C522C">
      <w:pPr>
        <w:pStyle w:val="Listeavsnitt"/>
        <w:numPr>
          <w:ilvl w:val="0"/>
          <w:numId w:val="37"/>
        </w:numPr>
        <w:spacing w:before="0"/>
        <w:jc w:val="both"/>
        <w:rPr>
          <w:rFonts w:eastAsia="Times New Roman"/>
          <w:color w:val="auto"/>
          <w:sz w:val="22"/>
          <w:lang w:val="en-US"/>
        </w:rPr>
      </w:pPr>
      <w:r w:rsidRPr="003C522C">
        <w:rPr>
          <w:rFonts w:eastAsia="Times New Roman"/>
          <w:lang w:val="en-US"/>
        </w:rPr>
        <w:t>Protective equipment/clothing/shoes that are customi</w:t>
      </w:r>
      <w:r w:rsidR="00F616F9">
        <w:rPr>
          <w:rFonts w:eastAsia="Times New Roman"/>
          <w:lang w:val="en-US"/>
        </w:rPr>
        <w:t>z</w:t>
      </w:r>
      <w:r w:rsidRPr="003C522C">
        <w:rPr>
          <w:rFonts w:eastAsia="Times New Roman"/>
          <w:lang w:val="en-US"/>
        </w:rPr>
        <w:t>ed for women must be available and can be ordered as needed. As far as possible, there shall be separate toilets/changing facilities for women at the facilities and rooms adapted for breastfeeding.</w:t>
      </w:r>
    </w:p>
    <w:p w14:paraId="6A597AAB" w14:textId="77777777" w:rsidR="003C522C" w:rsidRPr="003C522C" w:rsidRDefault="003C522C" w:rsidP="003C522C">
      <w:pPr>
        <w:spacing w:before="0"/>
        <w:jc w:val="both"/>
        <w:rPr>
          <w:color w:val="767171" w:themeColor="background2" w:themeShade="80"/>
          <w:lang w:val="en-US"/>
        </w:rPr>
      </w:pPr>
    </w:p>
    <w:p w14:paraId="05C3E357" w14:textId="77777777" w:rsidR="003C522C" w:rsidRPr="003C522C" w:rsidRDefault="003C522C" w:rsidP="003C522C">
      <w:pPr>
        <w:spacing w:before="0"/>
        <w:contextualSpacing/>
        <w:jc w:val="both"/>
        <w:rPr>
          <w:rFonts w:asciiTheme="majorHAnsi" w:eastAsiaTheme="majorEastAsia" w:hAnsiTheme="majorHAnsi" w:cstheme="majorBidi"/>
          <w:i/>
          <w:iCs/>
          <w:color w:val="7BA88B" w:themeColor="accent1" w:themeShade="BF"/>
          <w:lang w:val="en-US"/>
        </w:rPr>
      </w:pPr>
      <w:r w:rsidRPr="003C522C">
        <w:rPr>
          <w:rFonts w:asciiTheme="majorHAnsi" w:eastAsiaTheme="majorEastAsia" w:hAnsiTheme="majorHAnsi" w:cstheme="majorBidi"/>
          <w:i/>
          <w:iCs/>
          <w:color w:val="7BA88B" w:themeColor="accent1" w:themeShade="BF"/>
          <w:lang w:val="en-US"/>
        </w:rPr>
        <w:t>In 2024, NG Group wants to follow up on the following measures:</w:t>
      </w:r>
    </w:p>
    <w:p w14:paraId="46F545B0" w14:textId="77777777" w:rsidR="003C522C" w:rsidRPr="003C522C" w:rsidRDefault="003C522C" w:rsidP="003C522C">
      <w:pPr>
        <w:pStyle w:val="Listeavsnitt"/>
        <w:numPr>
          <w:ilvl w:val="0"/>
          <w:numId w:val="12"/>
        </w:numPr>
        <w:jc w:val="both"/>
        <w:rPr>
          <w:color w:val="auto"/>
          <w:lang w:val="en-US"/>
        </w:rPr>
      </w:pPr>
      <w:r w:rsidRPr="003C522C">
        <w:rPr>
          <w:color w:val="auto"/>
          <w:lang w:val="en-US"/>
        </w:rPr>
        <w:t>Continue the women's survey to measure the effect of measures and identify other problem areas for further follow-up.</w:t>
      </w:r>
    </w:p>
    <w:p w14:paraId="4A7F5CE9" w14:textId="77777777" w:rsidR="003C522C" w:rsidRPr="003C522C" w:rsidRDefault="003C522C" w:rsidP="003C522C">
      <w:pPr>
        <w:pStyle w:val="Listeavsnitt"/>
        <w:numPr>
          <w:ilvl w:val="0"/>
          <w:numId w:val="12"/>
        </w:numPr>
        <w:jc w:val="both"/>
        <w:rPr>
          <w:color w:val="auto"/>
          <w:lang w:val="en-US"/>
        </w:rPr>
      </w:pPr>
      <w:r w:rsidRPr="003C522C">
        <w:rPr>
          <w:color w:val="auto"/>
          <w:lang w:val="en-US"/>
        </w:rPr>
        <w:t>Continue the Employee Engagement Survey (EES), measure the impact of the improvement activities based on the 2023 results, and establish new development activities based on the 2024 results, anchored in the Group's overall diversity and inclusion agenda.</w:t>
      </w:r>
    </w:p>
    <w:p w14:paraId="131C26AC" w14:textId="657B47C9" w:rsidR="003C522C" w:rsidRPr="003C522C" w:rsidRDefault="003C522C" w:rsidP="003C522C">
      <w:pPr>
        <w:pStyle w:val="Listeavsnitt"/>
        <w:numPr>
          <w:ilvl w:val="0"/>
          <w:numId w:val="12"/>
        </w:numPr>
        <w:jc w:val="both"/>
        <w:rPr>
          <w:color w:val="auto"/>
          <w:lang w:val="en-US"/>
        </w:rPr>
      </w:pPr>
      <w:r w:rsidRPr="003C522C">
        <w:rPr>
          <w:color w:val="auto"/>
          <w:lang w:val="en-US"/>
        </w:rPr>
        <w:t xml:space="preserve">Continue the diversity and inclusion focus </w:t>
      </w:r>
      <w:proofErr w:type="gramStart"/>
      <w:r w:rsidRPr="003C522C">
        <w:rPr>
          <w:color w:val="auto"/>
          <w:lang w:val="en-US"/>
        </w:rPr>
        <w:t>in</w:t>
      </w:r>
      <w:proofErr w:type="gramEnd"/>
      <w:r w:rsidRPr="003C522C">
        <w:rPr>
          <w:color w:val="auto"/>
          <w:lang w:val="en-US"/>
        </w:rPr>
        <w:t xml:space="preserve"> the </w:t>
      </w:r>
      <w:proofErr w:type="spellStart"/>
      <w:r w:rsidRPr="003C522C">
        <w:rPr>
          <w:color w:val="auto"/>
          <w:lang w:val="en-US"/>
        </w:rPr>
        <w:t>YouNG</w:t>
      </w:r>
      <w:proofErr w:type="spellEnd"/>
      <w:r w:rsidRPr="003C522C">
        <w:rPr>
          <w:color w:val="auto"/>
          <w:lang w:val="en-US"/>
        </w:rPr>
        <w:t xml:space="preserve"> network (network for employees aged 18-35). Future leaders and employees will recogni</w:t>
      </w:r>
      <w:r w:rsidR="00F616F9">
        <w:rPr>
          <w:color w:val="auto"/>
          <w:lang w:val="en-US"/>
        </w:rPr>
        <w:t>z</w:t>
      </w:r>
      <w:r w:rsidRPr="003C522C">
        <w:rPr>
          <w:color w:val="auto"/>
          <w:lang w:val="en-US"/>
        </w:rPr>
        <w:t>e the value of putting diversity and inclusion at the top of the agenda.</w:t>
      </w:r>
    </w:p>
    <w:p w14:paraId="3A0447A9" w14:textId="77777777" w:rsidR="003C522C" w:rsidRPr="003C522C" w:rsidRDefault="003C522C" w:rsidP="003C522C">
      <w:pPr>
        <w:pStyle w:val="Listeavsnitt"/>
        <w:numPr>
          <w:ilvl w:val="0"/>
          <w:numId w:val="12"/>
        </w:numPr>
        <w:jc w:val="both"/>
        <w:rPr>
          <w:color w:val="auto"/>
          <w:lang w:val="en-US"/>
        </w:rPr>
      </w:pPr>
      <w:r w:rsidRPr="003C522C">
        <w:rPr>
          <w:color w:val="auto"/>
          <w:lang w:val="en-US"/>
        </w:rPr>
        <w:t xml:space="preserve">Continue to highlight good stories internally about </w:t>
      </w:r>
      <w:proofErr w:type="gramStart"/>
      <w:r w:rsidRPr="003C522C">
        <w:rPr>
          <w:color w:val="auto"/>
          <w:lang w:val="en-US"/>
        </w:rPr>
        <w:t>e.g.</w:t>
      </w:r>
      <w:proofErr w:type="gramEnd"/>
      <w:r w:rsidRPr="003C522C">
        <w:rPr>
          <w:color w:val="auto"/>
          <w:lang w:val="en-US"/>
        </w:rPr>
        <w:t xml:space="preserve"> female operators/drivers.</w:t>
      </w:r>
    </w:p>
    <w:p w14:paraId="72C2D4AF" w14:textId="77777777" w:rsidR="003C522C" w:rsidRPr="003C522C" w:rsidRDefault="003C522C" w:rsidP="003C522C">
      <w:pPr>
        <w:jc w:val="both"/>
        <w:rPr>
          <w:color w:val="auto"/>
          <w:lang w:val="en-US"/>
        </w:rPr>
      </w:pPr>
    </w:p>
    <w:sectPr w:rsidR="003C522C" w:rsidRPr="003C522C" w:rsidSect="006A75AC">
      <w:headerReference w:type="default" r:id="rId11"/>
      <w:footerReference w:type="default" r:id="rId12"/>
      <w:headerReference w:type="first" r:id="rId13"/>
      <w:pgSz w:w="11906" w:h="16838" w:code="9"/>
      <w:pgMar w:top="1134" w:right="1134" w:bottom="1134" w:left="1134" w:header="73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9844" w14:textId="77777777" w:rsidR="001F25BE" w:rsidRDefault="001F25BE" w:rsidP="0077301A">
      <w:r>
        <w:separator/>
      </w:r>
    </w:p>
  </w:endnote>
  <w:endnote w:type="continuationSeparator" w:id="0">
    <w:p w14:paraId="2209F658" w14:textId="77777777" w:rsidR="001F25BE" w:rsidRDefault="001F25BE" w:rsidP="0077301A">
      <w:r>
        <w:continuationSeparator/>
      </w:r>
    </w:p>
  </w:endnote>
  <w:endnote w:type="continuationNotice" w:id="1">
    <w:p w14:paraId="6BC10BE6" w14:textId="77777777" w:rsidR="001F25BE" w:rsidRDefault="001F25B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817D" w14:textId="47BE4BB8" w:rsidR="00787542" w:rsidRDefault="00C87CD8" w:rsidP="006A75AC">
    <w:pPr>
      <w:pBdr>
        <w:bottom w:val="single" w:sz="4" w:space="1" w:color="auto"/>
      </w:pBdr>
      <w:tabs>
        <w:tab w:val="center" w:pos="4550"/>
        <w:tab w:val="left" w:pos="5818"/>
      </w:tabs>
      <w:ind w:right="260"/>
      <w:jc w:val="right"/>
      <w:rPr>
        <w:color w:val="1F1F1F" w:themeColor="text2" w:themeShade="80"/>
        <w:szCs w:val="24"/>
      </w:rPr>
    </w:pPr>
    <w:r>
      <w:rPr>
        <w:color w:val="8D898D" w:themeColor="text2" w:themeTint="99"/>
        <w:spacing w:val="60"/>
        <w:szCs w:val="24"/>
      </w:rPr>
      <w:t>side</w:t>
    </w:r>
    <w:r w:rsidR="00787542">
      <w:rPr>
        <w:color w:val="8D898D" w:themeColor="text2" w:themeTint="99"/>
        <w:szCs w:val="24"/>
      </w:rPr>
      <w:t xml:space="preserve"> </w:t>
    </w:r>
    <w:r w:rsidR="00787542">
      <w:rPr>
        <w:color w:val="2F2E2F" w:themeColor="text2" w:themeShade="BF"/>
        <w:szCs w:val="24"/>
      </w:rPr>
      <w:fldChar w:fldCharType="begin"/>
    </w:r>
    <w:r w:rsidR="00787542">
      <w:rPr>
        <w:color w:val="2F2E2F" w:themeColor="text2" w:themeShade="BF"/>
        <w:szCs w:val="24"/>
      </w:rPr>
      <w:instrText xml:space="preserve"> PAGE   \* MERGEFORMAT </w:instrText>
    </w:r>
    <w:r w:rsidR="00787542">
      <w:rPr>
        <w:color w:val="2F2E2F" w:themeColor="text2" w:themeShade="BF"/>
        <w:szCs w:val="24"/>
      </w:rPr>
      <w:fldChar w:fldCharType="separate"/>
    </w:r>
    <w:r w:rsidR="00787542">
      <w:rPr>
        <w:noProof/>
        <w:color w:val="2F2E2F" w:themeColor="text2" w:themeShade="BF"/>
        <w:szCs w:val="24"/>
      </w:rPr>
      <w:t>1</w:t>
    </w:r>
    <w:r w:rsidR="00787542">
      <w:rPr>
        <w:color w:val="2F2E2F" w:themeColor="text2" w:themeShade="BF"/>
        <w:szCs w:val="24"/>
      </w:rPr>
      <w:fldChar w:fldCharType="end"/>
    </w:r>
    <w:r w:rsidR="00787542">
      <w:rPr>
        <w:color w:val="2F2E2F" w:themeColor="text2" w:themeShade="BF"/>
        <w:szCs w:val="24"/>
      </w:rPr>
      <w:t xml:space="preserve"> | </w:t>
    </w:r>
    <w:r w:rsidR="00787542">
      <w:rPr>
        <w:color w:val="2F2E2F" w:themeColor="text2" w:themeShade="BF"/>
        <w:szCs w:val="24"/>
      </w:rPr>
      <w:fldChar w:fldCharType="begin"/>
    </w:r>
    <w:r w:rsidR="00787542">
      <w:rPr>
        <w:color w:val="2F2E2F" w:themeColor="text2" w:themeShade="BF"/>
        <w:szCs w:val="24"/>
      </w:rPr>
      <w:instrText xml:space="preserve"> NUMPAGES  \* Arabic  \* MERGEFORMAT </w:instrText>
    </w:r>
    <w:r w:rsidR="00787542">
      <w:rPr>
        <w:color w:val="2F2E2F" w:themeColor="text2" w:themeShade="BF"/>
        <w:szCs w:val="24"/>
      </w:rPr>
      <w:fldChar w:fldCharType="separate"/>
    </w:r>
    <w:r w:rsidR="00787542">
      <w:rPr>
        <w:noProof/>
        <w:color w:val="2F2E2F" w:themeColor="text2" w:themeShade="BF"/>
        <w:szCs w:val="24"/>
      </w:rPr>
      <w:t>1</w:t>
    </w:r>
    <w:r w:rsidR="00787542">
      <w:rPr>
        <w:color w:val="2F2E2F" w:themeColor="text2" w:themeShade="BF"/>
        <w:szCs w:val="24"/>
      </w:rPr>
      <w:fldChar w:fldCharType="end"/>
    </w:r>
  </w:p>
  <w:p w14:paraId="794F9C27" w14:textId="0D508CBB" w:rsidR="00787542" w:rsidRDefault="00624E05">
    <w:pPr>
      <w:pStyle w:val="Bunntekst"/>
    </w:pPr>
    <w:r w:rsidRPr="00624E05">
      <w:t>Aktivitets- og redegjørelsesplikt (ARP)</w:t>
    </w:r>
    <w:r>
      <w:t xml:space="preserve"> – NG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55D46" w14:textId="77777777" w:rsidR="001F25BE" w:rsidRDefault="001F25BE" w:rsidP="0077301A">
      <w:r>
        <w:separator/>
      </w:r>
    </w:p>
  </w:footnote>
  <w:footnote w:type="continuationSeparator" w:id="0">
    <w:p w14:paraId="45053482" w14:textId="77777777" w:rsidR="001F25BE" w:rsidRDefault="001F25BE" w:rsidP="0077301A">
      <w:r>
        <w:continuationSeparator/>
      </w:r>
    </w:p>
  </w:footnote>
  <w:footnote w:type="continuationNotice" w:id="1">
    <w:p w14:paraId="158A4280" w14:textId="77777777" w:rsidR="001F25BE" w:rsidRDefault="001F25BE">
      <w:pPr>
        <w:spacing w:before="0"/>
      </w:pPr>
    </w:p>
  </w:footnote>
  <w:footnote w:id="2">
    <w:p w14:paraId="513DFA8E" w14:textId="77777777" w:rsidR="003C522C" w:rsidRPr="003C522C" w:rsidRDefault="003C522C" w:rsidP="003C522C">
      <w:pPr>
        <w:spacing w:before="0"/>
        <w:rPr>
          <w:color w:val="auto"/>
          <w:sz w:val="22"/>
          <w:szCs w:val="22"/>
          <w:lang w:val="en-US"/>
        </w:rPr>
      </w:pPr>
      <w:r w:rsidRPr="00F05F11">
        <w:rPr>
          <w:rStyle w:val="Fotnotereferanse"/>
          <w:sz w:val="20"/>
        </w:rPr>
        <w:footnoteRef/>
      </w:r>
      <w:r w:rsidRPr="003C522C">
        <w:rPr>
          <w:color w:val="auto"/>
          <w:sz w:val="20"/>
          <w:lang w:val="en-US"/>
        </w:rPr>
        <w:t xml:space="preserve"> As of 31 December 2023, NG Group global had a total of 2,277 employees and a female share of 17 per cent. This includes companies and employees outside </w:t>
      </w:r>
      <w:proofErr w:type="gramStart"/>
      <w:r w:rsidRPr="003C522C">
        <w:rPr>
          <w:color w:val="auto"/>
          <w:sz w:val="20"/>
          <w:lang w:val="en-US"/>
        </w:rPr>
        <w:t>Norway;</w:t>
      </w:r>
      <w:proofErr w:type="gramEnd"/>
      <w:r w:rsidRPr="003C522C">
        <w:rPr>
          <w:color w:val="auto"/>
          <w:sz w:val="20"/>
          <w:lang w:val="en-US"/>
        </w:rPr>
        <w:t xml:space="preserve"> Denmark, Sweden, Finland, Poland and the UK. Other figures for the Group </w:t>
      </w:r>
      <w:proofErr w:type="gramStart"/>
      <w:r w:rsidRPr="003C522C">
        <w:rPr>
          <w:color w:val="auto"/>
          <w:sz w:val="20"/>
          <w:lang w:val="en-US"/>
        </w:rPr>
        <w:t>as a whole are</w:t>
      </w:r>
      <w:proofErr w:type="gramEnd"/>
      <w:r w:rsidRPr="003C522C">
        <w:rPr>
          <w:color w:val="auto"/>
          <w:sz w:val="20"/>
          <w:lang w:val="en-US"/>
        </w:rPr>
        <w:t xml:space="preserve"> presented in NG Group's integrated annual report for 2023</w:t>
      </w:r>
      <w:r w:rsidRPr="003C522C">
        <w:rPr>
          <w:color w:val="auto"/>
          <w:sz w:val="22"/>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937" w14:textId="63DF6284" w:rsidR="00787542" w:rsidRPr="00FB3588" w:rsidRDefault="00FB3588" w:rsidP="006A75AC">
    <w:pPr>
      <w:pStyle w:val="Topptekst"/>
      <w:pBdr>
        <w:bottom w:val="single" w:sz="4" w:space="1" w:color="auto"/>
      </w:pBdr>
      <w:tabs>
        <w:tab w:val="clear" w:pos="4680"/>
        <w:tab w:val="clear" w:pos="9360"/>
        <w:tab w:val="left" w:pos="3715"/>
      </w:tabs>
    </w:pPr>
    <w:r>
      <w:rPr>
        <w:noProof/>
      </w:rPr>
      <w:drawing>
        <wp:inline distT="0" distB="0" distL="0" distR="0" wp14:anchorId="647E9B05" wp14:editId="680DF52B">
          <wp:extent cx="485775" cy="6000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6A75A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E8BC" w14:textId="77777777" w:rsidR="00DE25DC" w:rsidRDefault="00DE25DC">
    <w:pPr>
      <w:pStyle w:val="Topptekst"/>
    </w:pPr>
    <w:r w:rsidRPr="005B0FCB">
      <w:rPr>
        <w:noProof/>
      </w:rPr>
      <w:drawing>
        <wp:anchor distT="0" distB="0" distL="114300" distR="114300" simplePos="0" relativeHeight="251658240" behindDoc="1" locked="0" layoutInCell="1" allowOverlap="1" wp14:anchorId="2207FEA6" wp14:editId="27C0F1C2">
          <wp:simplePos x="0" y="0"/>
          <wp:positionH relativeFrom="page">
            <wp:posOffset>0</wp:posOffset>
          </wp:positionH>
          <wp:positionV relativeFrom="page">
            <wp:posOffset>0</wp:posOffset>
          </wp:positionV>
          <wp:extent cx="7559675" cy="10699115"/>
          <wp:effectExtent l="0" t="0" r="3175" b="698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225DC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B7731B"/>
    <w:multiLevelType w:val="hybridMultilevel"/>
    <w:tmpl w:val="81BC6B0C"/>
    <w:lvl w:ilvl="0" w:tplc="103AC49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90146F"/>
    <w:multiLevelType w:val="multilevel"/>
    <w:tmpl w:val="40A2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42068"/>
    <w:multiLevelType w:val="hybridMultilevel"/>
    <w:tmpl w:val="EFB8FC56"/>
    <w:lvl w:ilvl="0" w:tplc="A4528F62">
      <w:start w:val="1"/>
      <w:numFmt w:val="lowerLetter"/>
      <w:pStyle w:val="Punktlistealfanumerisk"/>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447F03"/>
    <w:multiLevelType w:val="hybridMultilevel"/>
    <w:tmpl w:val="EFA4F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F83CDE"/>
    <w:multiLevelType w:val="hybridMultilevel"/>
    <w:tmpl w:val="91AC045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6" w15:restartNumberingAfterBreak="0">
    <w:nsid w:val="1CB87737"/>
    <w:multiLevelType w:val="hybridMultilevel"/>
    <w:tmpl w:val="8954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E6915"/>
    <w:multiLevelType w:val="multilevel"/>
    <w:tmpl w:val="46B0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BE303F"/>
    <w:multiLevelType w:val="hybridMultilevel"/>
    <w:tmpl w:val="1ECCED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93E5708"/>
    <w:multiLevelType w:val="hybridMultilevel"/>
    <w:tmpl w:val="8B2A6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A36B96"/>
    <w:multiLevelType w:val="hybridMultilevel"/>
    <w:tmpl w:val="6130D4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EA3B19"/>
    <w:multiLevelType w:val="hybridMultilevel"/>
    <w:tmpl w:val="EED888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6203075"/>
    <w:multiLevelType w:val="hybridMultilevel"/>
    <w:tmpl w:val="85E4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843BA"/>
    <w:multiLevelType w:val="hybridMultilevel"/>
    <w:tmpl w:val="0174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A3F0D"/>
    <w:multiLevelType w:val="hybridMultilevel"/>
    <w:tmpl w:val="29B6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E2917"/>
    <w:multiLevelType w:val="hybridMultilevel"/>
    <w:tmpl w:val="FE581E2C"/>
    <w:lvl w:ilvl="0" w:tplc="1A429984">
      <w:start w:val="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1158C"/>
    <w:multiLevelType w:val="hybridMultilevel"/>
    <w:tmpl w:val="8206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E771BA3"/>
    <w:multiLevelType w:val="hybridMultilevel"/>
    <w:tmpl w:val="D2047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781AE1"/>
    <w:multiLevelType w:val="hybridMultilevel"/>
    <w:tmpl w:val="E1D0A328"/>
    <w:lvl w:ilvl="0" w:tplc="C8BA43A6">
      <w:start w:val="1"/>
      <w:numFmt w:val="bullet"/>
      <w:lvlText w:val="∙"/>
      <w:lvlJc w:val="left"/>
      <w:pPr>
        <w:ind w:left="360" w:hanging="360"/>
      </w:pPr>
      <w:rPr>
        <w:rFonts w:ascii="Calibri" w:hAnsi="Calibr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9" w15:restartNumberingAfterBreak="0">
    <w:nsid w:val="43D8748E"/>
    <w:multiLevelType w:val="hybridMultilevel"/>
    <w:tmpl w:val="6CA0D8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D65C1E"/>
    <w:multiLevelType w:val="hybridMultilevel"/>
    <w:tmpl w:val="7CDA47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61308B1"/>
    <w:multiLevelType w:val="hybridMultilevel"/>
    <w:tmpl w:val="30465D3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8842FA5"/>
    <w:multiLevelType w:val="multilevel"/>
    <w:tmpl w:val="286C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EA6F92"/>
    <w:multiLevelType w:val="hybridMultilevel"/>
    <w:tmpl w:val="D77AFD4C"/>
    <w:lvl w:ilvl="0" w:tplc="26C6D362">
      <w:start w:val="1"/>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55E490F"/>
    <w:multiLevelType w:val="hybridMultilevel"/>
    <w:tmpl w:val="6F06D0A6"/>
    <w:lvl w:ilvl="0" w:tplc="A3CE98D4">
      <w:start w:val="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5654550"/>
    <w:multiLevelType w:val="hybridMultilevel"/>
    <w:tmpl w:val="2F368A42"/>
    <w:lvl w:ilvl="0" w:tplc="C8BA43A6">
      <w:start w:val="1"/>
      <w:numFmt w:val="bullet"/>
      <w:lvlText w:val="∙"/>
      <w:lvlJc w:val="left"/>
      <w:pPr>
        <w:ind w:left="720" w:hanging="360"/>
      </w:pPr>
      <w:rPr>
        <w:rFonts w:ascii="Calibri" w:hAnsi="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6ED0101"/>
    <w:multiLevelType w:val="hybridMultilevel"/>
    <w:tmpl w:val="7E4E0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461838"/>
    <w:multiLevelType w:val="multilevel"/>
    <w:tmpl w:val="8330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A1C27"/>
    <w:multiLevelType w:val="multilevel"/>
    <w:tmpl w:val="7BBE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04EE5"/>
    <w:multiLevelType w:val="hybridMultilevel"/>
    <w:tmpl w:val="F7D67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772687"/>
    <w:multiLevelType w:val="hybridMultilevel"/>
    <w:tmpl w:val="EAD0CE36"/>
    <w:lvl w:ilvl="0" w:tplc="00065672">
      <w:start w:val="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FA4E16"/>
    <w:multiLevelType w:val="hybridMultilevel"/>
    <w:tmpl w:val="271CD76A"/>
    <w:lvl w:ilvl="0" w:tplc="B0AC5BD4">
      <w:start w:val="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30671DE"/>
    <w:multiLevelType w:val="hybridMultilevel"/>
    <w:tmpl w:val="3DA09E32"/>
    <w:lvl w:ilvl="0" w:tplc="6624F80A">
      <w:start w:val="1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3181EDD"/>
    <w:multiLevelType w:val="hybridMultilevel"/>
    <w:tmpl w:val="6B10B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8E2492F"/>
    <w:multiLevelType w:val="hybridMultilevel"/>
    <w:tmpl w:val="64D845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9DE0067"/>
    <w:multiLevelType w:val="multilevel"/>
    <w:tmpl w:val="4736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6485E"/>
    <w:multiLevelType w:val="hybridMultilevel"/>
    <w:tmpl w:val="326EFD4E"/>
    <w:lvl w:ilvl="0" w:tplc="C916F4F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BCA570E"/>
    <w:multiLevelType w:val="hybridMultilevel"/>
    <w:tmpl w:val="E8CEC1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C923650"/>
    <w:multiLevelType w:val="multilevel"/>
    <w:tmpl w:val="993E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0540469">
    <w:abstractNumId w:val="0"/>
  </w:num>
  <w:num w:numId="2" w16cid:durableId="2095321417">
    <w:abstractNumId w:val="3"/>
  </w:num>
  <w:num w:numId="3" w16cid:durableId="2102801139">
    <w:abstractNumId w:val="5"/>
  </w:num>
  <w:num w:numId="4" w16cid:durableId="1606495175">
    <w:abstractNumId w:val="1"/>
  </w:num>
  <w:num w:numId="5" w16cid:durableId="403263446">
    <w:abstractNumId w:val="11"/>
  </w:num>
  <w:num w:numId="6" w16cid:durableId="71125219">
    <w:abstractNumId w:val="19"/>
  </w:num>
  <w:num w:numId="7" w16cid:durableId="1515655000">
    <w:abstractNumId w:val="34"/>
  </w:num>
  <w:num w:numId="8" w16cid:durableId="900674691">
    <w:abstractNumId w:val="33"/>
  </w:num>
  <w:num w:numId="9" w16cid:durableId="500320861">
    <w:abstractNumId w:val="29"/>
  </w:num>
  <w:num w:numId="10" w16cid:durableId="2016104656">
    <w:abstractNumId w:val="4"/>
  </w:num>
  <w:num w:numId="11" w16cid:durableId="470752110">
    <w:abstractNumId w:val="37"/>
  </w:num>
  <w:num w:numId="12" w16cid:durableId="935864095">
    <w:abstractNumId w:val="16"/>
  </w:num>
  <w:num w:numId="13" w16cid:durableId="2014839249">
    <w:abstractNumId w:val="17"/>
  </w:num>
  <w:num w:numId="14" w16cid:durableId="110563240">
    <w:abstractNumId w:val="9"/>
  </w:num>
  <w:num w:numId="15" w16cid:durableId="912088815">
    <w:abstractNumId w:val="21"/>
  </w:num>
  <w:num w:numId="16" w16cid:durableId="1584145042">
    <w:abstractNumId w:val="26"/>
  </w:num>
  <w:num w:numId="17" w16cid:durableId="1824814400">
    <w:abstractNumId w:val="28"/>
  </w:num>
  <w:num w:numId="18" w16cid:durableId="1042635514">
    <w:abstractNumId w:val="35"/>
  </w:num>
  <w:num w:numId="19" w16cid:durableId="530647310">
    <w:abstractNumId w:val="20"/>
  </w:num>
  <w:num w:numId="20" w16cid:durableId="1691759217">
    <w:abstractNumId w:val="10"/>
  </w:num>
  <w:num w:numId="21" w16cid:durableId="1981566717">
    <w:abstractNumId w:val="38"/>
  </w:num>
  <w:num w:numId="22" w16cid:durableId="1519542220">
    <w:abstractNumId w:val="27"/>
  </w:num>
  <w:num w:numId="23" w16cid:durableId="1134181116">
    <w:abstractNumId w:val="8"/>
  </w:num>
  <w:num w:numId="24" w16cid:durableId="1260018265">
    <w:abstractNumId w:val="36"/>
  </w:num>
  <w:num w:numId="25" w16cid:durableId="863984792">
    <w:abstractNumId w:val="30"/>
  </w:num>
  <w:num w:numId="26" w16cid:durableId="694964733">
    <w:abstractNumId w:val="32"/>
  </w:num>
  <w:num w:numId="27" w16cid:durableId="520164478">
    <w:abstractNumId w:val="18"/>
  </w:num>
  <w:num w:numId="28" w16cid:durableId="713845808">
    <w:abstractNumId w:val="25"/>
  </w:num>
  <w:num w:numId="29" w16cid:durableId="1460416185">
    <w:abstractNumId w:val="31"/>
  </w:num>
  <w:num w:numId="30" w16cid:durableId="1304699967">
    <w:abstractNumId w:val="24"/>
  </w:num>
  <w:num w:numId="31" w16cid:durableId="1352024853">
    <w:abstractNumId w:val="12"/>
  </w:num>
  <w:num w:numId="32" w16cid:durableId="1153721670">
    <w:abstractNumId w:val="15"/>
  </w:num>
  <w:num w:numId="33" w16cid:durableId="1618020305">
    <w:abstractNumId w:val="23"/>
  </w:num>
  <w:num w:numId="34" w16cid:durableId="335890010">
    <w:abstractNumId w:val="7"/>
  </w:num>
  <w:num w:numId="35" w16cid:durableId="1925332046">
    <w:abstractNumId w:val="22"/>
  </w:num>
  <w:num w:numId="36" w16cid:durableId="502671449">
    <w:abstractNumId w:val="2"/>
  </w:num>
  <w:num w:numId="37" w16cid:durableId="1048725552">
    <w:abstractNumId w:val="6"/>
  </w:num>
  <w:num w:numId="38" w16cid:durableId="1067336929">
    <w:abstractNumId w:val="13"/>
  </w:num>
  <w:num w:numId="39" w16cid:durableId="1656835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0E"/>
    <w:rsid w:val="000005A3"/>
    <w:rsid w:val="0000281E"/>
    <w:rsid w:val="0000416E"/>
    <w:rsid w:val="00004288"/>
    <w:rsid w:val="00007F1A"/>
    <w:rsid w:val="00011503"/>
    <w:rsid w:val="000131C5"/>
    <w:rsid w:val="00013502"/>
    <w:rsid w:val="00013733"/>
    <w:rsid w:val="00014456"/>
    <w:rsid w:val="00014B7B"/>
    <w:rsid w:val="00014C38"/>
    <w:rsid w:val="00015178"/>
    <w:rsid w:val="000155F7"/>
    <w:rsid w:val="00015DA4"/>
    <w:rsid w:val="00016B93"/>
    <w:rsid w:val="00016CEA"/>
    <w:rsid w:val="00016E71"/>
    <w:rsid w:val="00017EB9"/>
    <w:rsid w:val="00017F84"/>
    <w:rsid w:val="00020439"/>
    <w:rsid w:val="00020AC1"/>
    <w:rsid w:val="00021B96"/>
    <w:rsid w:val="000223DD"/>
    <w:rsid w:val="00022841"/>
    <w:rsid w:val="000238FB"/>
    <w:rsid w:val="00023987"/>
    <w:rsid w:val="00023E27"/>
    <w:rsid w:val="00025B9B"/>
    <w:rsid w:val="000266C3"/>
    <w:rsid w:val="000302EE"/>
    <w:rsid w:val="0003127F"/>
    <w:rsid w:val="00031991"/>
    <w:rsid w:val="00032C65"/>
    <w:rsid w:val="00032D1D"/>
    <w:rsid w:val="00033BE2"/>
    <w:rsid w:val="000345CD"/>
    <w:rsid w:val="00034AC8"/>
    <w:rsid w:val="00035137"/>
    <w:rsid w:val="00035D81"/>
    <w:rsid w:val="00037A91"/>
    <w:rsid w:val="00037E80"/>
    <w:rsid w:val="000409A9"/>
    <w:rsid w:val="00041592"/>
    <w:rsid w:val="000421BD"/>
    <w:rsid w:val="000424F6"/>
    <w:rsid w:val="00043FB6"/>
    <w:rsid w:val="00044074"/>
    <w:rsid w:val="00045840"/>
    <w:rsid w:val="00047364"/>
    <w:rsid w:val="00047795"/>
    <w:rsid w:val="000479B4"/>
    <w:rsid w:val="00047D2D"/>
    <w:rsid w:val="00050558"/>
    <w:rsid w:val="000522AE"/>
    <w:rsid w:val="00052570"/>
    <w:rsid w:val="00052C4D"/>
    <w:rsid w:val="000533C0"/>
    <w:rsid w:val="000538E0"/>
    <w:rsid w:val="0005421B"/>
    <w:rsid w:val="000553F8"/>
    <w:rsid w:val="000555F4"/>
    <w:rsid w:val="00055805"/>
    <w:rsid w:val="00056063"/>
    <w:rsid w:val="00056B23"/>
    <w:rsid w:val="00060EA4"/>
    <w:rsid w:val="00061104"/>
    <w:rsid w:val="00061BAA"/>
    <w:rsid w:val="000630D7"/>
    <w:rsid w:val="000632DA"/>
    <w:rsid w:val="0006784F"/>
    <w:rsid w:val="00067990"/>
    <w:rsid w:val="00070DA5"/>
    <w:rsid w:val="00072FE0"/>
    <w:rsid w:val="00073421"/>
    <w:rsid w:val="00073E31"/>
    <w:rsid w:val="000740CF"/>
    <w:rsid w:val="000743A0"/>
    <w:rsid w:val="00074472"/>
    <w:rsid w:val="00074EC1"/>
    <w:rsid w:val="000763DD"/>
    <w:rsid w:val="00076FF8"/>
    <w:rsid w:val="00077F27"/>
    <w:rsid w:val="00082873"/>
    <w:rsid w:val="00085D75"/>
    <w:rsid w:val="00087088"/>
    <w:rsid w:val="00087787"/>
    <w:rsid w:val="000877A5"/>
    <w:rsid w:val="000921B8"/>
    <w:rsid w:val="00092571"/>
    <w:rsid w:val="00092960"/>
    <w:rsid w:val="00095621"/>
    <w:rsid w:val="00097BC5"/>
    <w:rsid w:val="000A32EC"/>
    <w:rsid w:val="000A3543"/>
    <w:rsid w:val="000A4273"/>
    <w:rsid w:val="000A710A"/>
    <w:rsid w:val="000B0846"/>
    <w:rsid w:val="000B0C17"/>
    <w:rsid w:val="000B22AA"/>
    <w:rsid w:val="000B3C75"/>
    <w:rsid w:val="000B3F0C"/>
    <w:rsid w:val="000B40F6"/>
    <w:rsid w:val="000B4BB2"/>
    <w:rsid w:val="000B74ED"/>
    <w:rsid w:val="000B74F6"/>
    <w:rsid w:val="000B797C"/>
    <w:rsid w:val="000B7A2D"/>
    <w:rsid w:val="000B7D37"/>
    <w:rsid w:val="000C0242"/>
    <w:rsid w:val="000C06A4"/>
    <w:rsid w:val="000C14FF"/>
    <w:rsid w:val="000C25E0"/>
    <w:rsid w:val="000C2DE2"/>
    <w:rsid w:val="000C3505"/>
    <w:rsid w:val="000C52F4"/>
    <w:rsid w:val="000C6115"/>
    <w:rsid w:val="000C694E"/>
    <w:rsid w:val="000C7452"/>
    <w:rsid w:val="000C7C18"/>
    <w:rsid w:val="000D09EA"/>
    <w:rsid w:val="000D19EE"/>
    <w:rsid w:val="000D247A"/>
    <w:rsid w:val="000D2E92"/>
    <w:rsid w:val="000D4294"/>
    <w:rsid w:val="000D4F53"/>
    <w:rsid w:val="000D5481"/>
    <w:rsid w:val="000D6069"/>
    <w:rsid w:val="000D6B38"/>
    <w:rsid w:val="000E00A3"/>
    <w:rsid w:val="000E018E"/>
    <w:rsid w:val="000E1E63"/>
    <w:rsid w:val="000E3780"/>
    <w:rsid w:val="000E56CA"/>
    <w:rsid w:val="000E5A01"/>
    <w:rsid w:val="000E6698"/>
    <w:rsid w:val="000E7406"/>
    <w:rsid w:val="000E7BAF"/>
    <w:rsid w:val="000F0895"/>
    <w:rsid w:val="000F28DE"/>
    <w:rsid w:val="000F36FC"/>
    <w:rsid w:val="000F41EA"/>
    <w:rsid w:val="000F4993"/>
    <w:rsid w:val="000F55AF"/>
    <w:rsid w:val="0010050D"/>
    <w:rsid w:val="00101EFC"/>
    <w:rsid w:val="00102410"/>
    <w:rsid w:val="0010332F"/>
    <w:rsid w:val="00105395"/>
    <w:rsid w:val="00106986"/>
    <w:rsid w:val="00107684"/>
    <w:rsid w:val="001078E9"/>
    <w:rsid w:val="00110580"/>
    <w:rsid w:val="0011062F"/>
    <w:rsid w:val="00111C6E"/>
    <w:rsid w:val="001126E5"/>
    <w:rsid w:val="001133DC"/>
    <w:rsid w:val="00113AD0"/>
    <w:rsid w:val="001150FC"/>
    <w:rsid w:val="00116D54"/>
    <w:rsid w:val="00117FA3"/>
    <w:rsid w:val="00120681"/>
    <w:rsid w:val="001213CE"/>
    <w:rsid w:val="00121A98"/>
    <w:rsid w:val="00122C96"/>
    <w:rsid w:val="00123CA7"/>
    <w:rsid w:val="00124B70"/>
    <w:rsid w:val="00125A99"/>
    <w:rsid w:val="00125CD7"/>
    <w:rsid w:val="00126854"/>
    <w:rsid w:val="00127BA4"/>
    <w:rsid w:val="00131B3D"/>
    <w:rsid w:val="00132628"/>
    <w:rsid w:val="001330EE"/>
    <w:rsid w:val="00134CD4"/>
    <w:rsid w:val="00135668"/>
    <w:rsid w:val="00135B69"/>
    <w:rsid w:val="00135BAA"/>
    <w:rsid w:val="00135D7C"/>
    <w:rsid w:val="00137BCB"/>
    <w:rsid w:val="00142E7F"/>
    <w:rsid w:val="00143303"/>
    <w:rsid w:val="00144403"/>
    <w:rsid w:val="00145119"/>
    <w:rsid w:val="00145A00"/>
    <w:rsid w:val="00146332"/>
    <w:rsid w:val="001478A3"/>
    <w:rsid w:val="0015094D"/>
    <w:rsid w:val="00150B6C"/>
    <w:rsid w:val="0015241E"/>
    <w:rsid w:val="00152D0C"/>
    <w:rsid w:val="0015381C"/>
    <w:rsid w:val="00153C7F"/>
    <w:rsid w:val="001547E5"/>
    <w:rsid w:val="00156A9C"/>
    <w:rsid w:val="00157045"/>
    <w:rsid w:val="00157605"/>
    <w:rsid w:val="00157C5B"/>
    <w:rsid w:val="00160B73"/>
    <w:rsid w:val="001613C6"/>
    <w:rsid w:val="001641D0"/>
    <w:rsid w:val="00166227"/>
    <w:rsid w:val="001675F5"/>
    <w:rsid w:val="001679DC"/>
    <w:rsid w:val="001711C9"/>
    <w:rsid w:val="001713D4"/>
    <w:rsid w:val="00171726"/>
    <w:rsid w:val="00171E09"/>
    <w:rsid w:val="0017262A"/>
    <w:rsid w:val="001734B6"/>
    <w:rsid w:val="001756F7"/>
    <w:rsid w:val="001760FB"/>
    <w:rsid w:val="001767DF"/>
    <w:rsid w:val="0017743E"/>
    <w:rsid w:val="00177E4E"/>
    <w:rsid w:val="001825AA"/>
    <w:rsid w:val="00182D46"/>
    <w:rsid w:val="001839F2"/>
    <w:rsid w:val="001869BB"/>
    <w:rsid w:val="00186E60"/>
    <w:rsid w:val="00190F42"/>
    <w:rsid w:val="00191384"/>
    <w:rsid w:val="00191748"/>
    <w:rsid w:val="00191E40"/>
    <w:rsid w:val="00192EF0"/>
    <w:rsid w:val="0019451F"/>
    <w:rsid w:val="001945E1"/>
    <w:rsid w:val="00197886"/>
    <w:rsid w:val="00197E8B"/>
    <w:rsid w:val="001A1292"/>
    <w:rsid w:val="001A21E4"/>
    <w:rsid w:val="001A2F8B"/>
    <w:rsid w:val="001A3550"/>
    <w:rsid w:val="001A4498"/>
    <w:rsid w:val="001A5D9B"/>
    <w:rsid w:val="001A6FB0"/>
    <w:rsid w:val="001A72E7"/>
    <w:rsid w:val="001A7E65"/>
    <w:rsid w:val="001B15A9"/>
    <w:rsid w:val="001B6736"/>
    <w:rsid w:val="001B694B"/>
    <w:rsid w:val="001B6EA6"/>
    <w:rsid w:val="001B7479"/>
    <w:rsid w:val="001B77AC"/>
    <w:rsid w:val="001C1103"/>
    <w:rsid w:val="001C22FB"/>
    <w:rsid w:val="001C2315"/>
    <w:rsid w:val="001C235F"/>
    <w:rsid w:val="001C302F"/>
    <w:rsid w:val="001C32E0"/>
    <w:rsid w:val="001C3D0A"/>
    <w:rsid w:val="001C3E81"/>
    <w:rsid w:val="001C516C"/>
    <w:rsid w:val="001C5B99"/>
    <w:rsid w:val="001C6E43"/>
    <w:rsid w:val="001C7420"/>
    <w:rsid w:val="001D1913"/>
    <w:rsid w:val="001D1EF1"/>
    <w:rsid w:val="001D51F2"/>
    <w:rsid w:val="001D5782"/>
    <w:rsid w:val="001D5B02"/>
    <w:rsid w:val="001D6670"/>
    <w:rsid w:val="001D7CDF"/>
    <w:rsid w:val="001E0412"/>
    <w:rsid w:val="001E27F9"/>
    <w:rsid w:val="001E448C"/>
    <w:rsid w:val="001E5089"/>
    <w:rsid w:val="001E6402"/>
    <w:rsid w:val="001F080D"/>
    <w:rsid w:val="001F0F92"/>
    <w:rsid w:val="001F1DC1"/>
    <w:rsid w:val="001F25BE"/>
    <w:rsid w:val="001F2B19"/>
    <w:rsid w:val="001F2F16"/>
    <w:rsid w:val="001F350C"/>
    <w:rsid w:val="001F4639"/>
    <w:rsid w:val="001F5A78"/>
    <w:rsid w:val="001F6CB0"/>
    <w:rsid w:val="00200971"/>
    <w:rsid w:val="00200A2C"/>
    <w:rsid w:val="00200C03"/>
    <w:rsid w:val="00201A1B"/>
    <w:rsid w:val="00201B49"/>
    <w:rsid w:val="00201E65"/>
    <w:rsid w:val="00202175"/>
    <w:rsid w:val="002030B8"/>
    <w:rsid w:val="0020677C"/>
    <w:rsid w:val="00206CD8"/>
    <w:rsid w:val="002071BF"/>
    <w:rsid w:val="0021188A"/>
    <w:rsid w:val="00212707"/>
    <w:rsid w:val="002127DC"/>
    <w:rsid w:val="002137D2"/>
    <w:rsid w:val="0021400C"/>
    <w:rsid w:val="00214521"/>
    <w:rsid w:val="00214614"/>
    <w:rsid w:val="00214674"/>
    <w:rsid w:val="002172A5"/>
    <w:rsid w:val="0021784A"/>
    <w:rsid w:val="00223819"/>
    <w:rsid w:val="00223B17"/>
    <w:rsid w:val="00223D10"/>
    <w:rsid w:val="002247BF"/>
    <w:rsid w:val="0022492E"/>
    <w:rsid w:val="002272D0"/>
    <w:rsid w:val="00227766"/>
    <w:rsid w:val="00230FC4"/>
    <w:rsid w:val="00232B60"/>
    <w:rsid w:val="00232DFA"/>
    <w:rsid w:val="0023344B"/>
    <w:rsid w:val="00233E81"/>
    <w:rsid w:val="00234A3F"/>
    <w:rsid w:val="00237AA4"/>
    <w:rsid w:val="0024037D"/>
    <w:rsid w:val="002420AB"/>
    <w:rsid w:val="002428D4"/>
    <w:rsid w:val="00243F1B"/>
    <w:rsid w:val="002443F7"/>
    <w:rsid w:val="00244747"/>
    <w:rsid w:val="002454A8"/>
    <w:rsid w:val="00246A6B"/>
    <w:rsid w:val="00247336"/>
    <w:rsid w:val="00250328"/>
    <w:rsid w:val="002507DB"/>
    <w:rsid w:val="00250E94"/>
    <w:rsid w:val="002518DE"/>
    <w:rsid w:val="00251D8D"/>
    <w:rsid w:val="00252009"/>
    <w:rsid w:val="00254B3A"/>
    <w:rsid w:val="00255B1B"/>
    <w:rsid w:val="0025714A"/>
    <w:rsid w:val="002607A2"/>
    <w:rsid w:val="0026128C"/>
    <w:rsid w:val="00261F4C"/>
    <w:rsid w:val="00262A5B"/>
    <w:rsid w:val="00264B05"/>
    <w:rsid w:val="002666A3"/>
    <w:rsid w:val="0026704A"/>
    <w:rsid w:val="00267ABE"/>
    <w:rsid w:val="0027120E"/>
    <w:rsid w:val="002712B2"/>
    <w:rsid w:val="002727E9"/>
    <w:rsid w:val="00272D67"/>
    <w:rsid w:val="002741C8"/>
    <w:rsid w:val="002743FA"/>
    <w:rsid w:val="00274926"/>
    <w:rsid w:val="002764EC"/>
    <w:rsid w:val="0027740E"/>
    <w:rsid w:val="00277F9E"/>
    <w:rsid w:val="002813E6"/>
    <w:rsid w:val="00282D29"/>
    <w:rsid w:val="0028308F"/>
    <w:rsid w:val="002836E2"/>
    <w:rsid w:val="00285086"/>
    <w:rsid w:val="00285A7C"/>
    <w:rsid w:val="00287633"/>
    <w:rsid w:val="00287905"/>
    <w:rsid w:val="00287C0A"/>
    <w:rsid w:val="00287D39"/>
    <w:rsid w:val="00290BFA"/>
    <w:rsid w:val="00292EFC"/>
    <w:rsid w:val="00294655"/>
    <w:rsid w:val="0029621A"/>
    <w:rsid w:val="00297D11"/>
    <w:rsid w:val="002A01FD"/>
    <w:rsid w:val="002A36D8"/>
    <w:rsid w:val="002A4656"/>
    <w:rsid w:val="002A5832"/>
    <w:rsid w:val="002A5E54"/>
    <w:rsid w:val="002A602A"/>
    <w:rsid w:val="002A6459"/>
    <w:rsid w:val="002B01FF"/>
    <w:rsid w:val="002B250D"/>
    <w:rsid w:val="002B28FE"/>
    <w:rsid w:val="002B3289"/>
    <w:rsid w:val="002B49B2"/>
    <w:rsid w:val="002B7443"/>
    <w:rsid w:val="002B758C"/>
    <w:rsid w:val="002B7CA5"/>
    <w:rsid w:val="002C05F4"/>
    <w:rsid w:val="002C0B62"/>
    <w:rsid w:val="002C18D5"/>
    <w:rsid w:val="002C21F7"/>
    <w:rsid w:val="002C29D3"/>
    <w:rsid w:val="002C2DA4"/>
    <w:rsid w:val="002C3F1D"/>
    <w:rsid w:val="002C414B"/>
    <w:rsid w:val="002C4592"/>
    <w:rsid w:val="002C5176"/>
    <w:rsid w:val="002C61A8"/>
    <w:rsid w:val="002C6C9E"/>
    <w:rsid w:val="002C6E1C"/>
    <w:rsid w:val="002C6E64"/>
    <w:rsid w:val="002D017E"/>
    <w:rsid w:val="002D381B"/>
    <w:rsid w:val="002D42B8"/>
    <w:rsid w:val="002D46FD"/>
    <w:rsid w:val="002D5461"/>
    <w:rsid w:val="002D63C7"/>
    <w:rsid w:val="002D7DAF"/>
    <w:rsid w:val="002D7EFD"/>
    <w:rsid w:val="002E355C"/>
    <w:rsid w:val="002E54CC"/>
    <w:rsid w:val="002E6E6C"/>
    <w:rsid w:val="002E7D77"/>
    <w:rsid w:val="002F141B"/>
    <w:rsid w:val="002F1B96"/>
    <w:rsid w:val="002F1C3E"/>
    <w:rsid w:val="002F35FA"/>
    <w:rsid w:val="002F3DBA"/>
    <w:rsid w:val="002F3F82"/>
    <w:rsid w:val="002F482B"/>
    <w:rsid w:val="002F646F"/>
    <w:rsid w:val="002F72F9"/>
    <w:rsid w:val="002F7373"/>
    <w:rsid w:val="002F7DBE"/>
    <w:rsid w:val="00302D7F"/>
    <w:rsid w:val="00303014"/>
    <w:rsid w:val="0030309E"/>
    <w:rsid w:val="003036E3"/>
    <w:rsid w:val="00305A19"/>
    <w:rsid w:val="00307420"/>
    <w:rsid w:val="00310A2C"/>
    <w:rsid w:val="003117B8"/>
    <w:rsid w:val="00311BE2"/>
    <w:rsid w:val="00313F4A"/>
    <w:rsid w:val="00322489"/>
    <w:rsid w:val="003226C8"/>
    <w:rsid w:val="00322817"/>
    <w:rsid w:val="003234CD"/>
    <w:rsid w:val="00323EA3"/>
    <w:rsid w:val="003274A8"/>
    <w:rsid w:val="003305FF"/>
    <w:rsid w:val="00330948"/>
    <w:rsid w:val="00330CF2"/>
    <w:rsid w:val="00331401"/>
    <w:rsid w:val="00332272"/>
    <w:rsid w:val="00333BA1"/>
    <w:rsid w:val="00333BE3"/>
    <w:rsid w:val="00335871"/>
    <w:rsid w:val="00335C77"/>
    <w:rsid w:val="00336097"/>
    <w:rsid w:val="00336A0E"/>
    <w:rsid w:val="00336DF7"/>
    <w:rsid w:val="00336F0D"/>
    <w:rsid w:val="003372A9"/>
    <w:rsid w:val="003374E5"/>
    <w:rsid w:val="00337636"/>
    <w:rsid w:val="003401D4"/>
    <w:rsid w:val="00342834"/>
    <w:rsid w:val="003428C3"/>
    <w:rsid w:val="003430DB"/>
    <w:rsid w:val="003434EA"/>
    <w:rsid w:val="003446FB"/>
    <w:rsid w:val="0034483F"/>
    <w:rsid w:val="00344AFD"/>
    <w:rsid w:val="00345B7F"/>
    <w:rsid w:val="00345EBA"/>
    <w:rsid w:val="00347319"/>
    <w:rsid w:val="00350A56"/>
    <w:rsid w:val="00350CCF"/>
    <w:rsid w:val="00351573"/>
    <w:rsid w:val="00351C62"/>
    <w:rsid w:val="00352888"/>
    <w:rsid w:val="00352A7F"/>
    <w:rsid w:val="00356198"/>
    <w:rsid w:val="003572D2"/>
    <w:rsid w:val="003602ED"/>
    <w:rsid w:val="003627FD"/>
    <w:rsid w:val="00362C97"/>
    <w:rsid w:val="003637EC"/>
    <w:rsid w:val="003638DA"/>
    <w:rsid w:val="00364E23"/>
    <w:rsid w:val="00364E3B"/>
    <w:rsid w:val="00365585"/>
    <w:rsid w:val="003655D5"/>
    <w:rsid w:val="003664BA"/>
    <w:rsid w:val="003700F2"/>
    <w:rsid w:val="00370F49"/>
    <w:rsid w:val="00371197"/>
    <w:rsid w:val="003724BC"/>
    <w:rsid w:val="0037372C"/>
    <w:rsid w:val="003745FF"/>
    <w:rsid w:val="0037596D"/>
    <w:rsid w:val="0037667E"/>
    <w:rsid w:val="00377D6E"/>
    <w:rsid w:val="003803E9"/>
    <w:rsid w:val="00380705"/>
    <w:rsid w:val="00381B22"/>
    <w:rsid w:val="00381C98"/>
    <w:rsid w:val="00381EE4"/>
    <w:rsid w:val="00382A9D"/>
    <w:rsid w:val="00383471"/>
    <w:rsid w:val="00384E5A"/>
    <w:rsid w:val="003851B1"/>
    <w:rsid w:val="00390E7C"/>
    <w:rsid w:val="003913DB"/>
    <w:rsid w:val="003916ED"/>
    <w:rsid w:val="00391C21"/>
    <w:rsid w:val="0039233C"/>
    <w:rsid w:val="00393C42"/>
    <w:rsid w:val="0039407A"/>
    <w:rsid w:val="00394098"/>
    <w:rsid w:val="00394695"/>
    <w:rsid w:val="003953ED"/>
    <w:rsid w:val="00395E70"/>
    <w:rsid w:val="00396554"/>
    <w:rsid w:val="003965C9"/>
    <w:rsid w:val="00396721"/>
    <w:rsid w:val="003A0B10"/>
    <w:rsid w:val="003A1562"/>
    <w:rsid w:val="003A4168"/>
    <w:rsid w:val="003A4C62"/>
    <w:rsid w:val="003A5320"/>
    <w:rsid w:val="003A5E5B"/>
    <w:rsid w:val="003A60BB"/>
    <w:rsid w:val="003A6E64"/>
    <w:rsid w:val="003B089B"/>
    <w:rsid w:val="003B0E82"/>
    <w:rsid w:val="003B130A"/>
    <w:rsid w:val="003B1A6F"/>
    <w:rsid w:val="003B2071"/>
    <w:rsid w:val="003B24E7"/>
    <w:rsid w:val="003B292C"/>
    <w:rsid w:val="003B3C71"/>
    <w:rsid w:val="003B520A"/>
    <w:rsid w:val="003B54B4"/>
    <w:rsid w:val="003B5EEA"/>
    <w:rsid w:val="003B60AA"/>
    <w:rsid w:val="003B7A9C"/>
    <w:rsid w:val="003C4DC7"/>
    <w:rsid w:val="003C522C"/>
    <w:rsid w:val="003C5EA0"/>
    <w:rsid w:val="003C713A"/>
    <w:rsid w:val="003C7938"/>
    <w:rsid w:val="003D10CF"/>
    <w:rsid w:val="003D189E"/>
    <w:rsid w:val="003D3406"/>
    <w:rsid w:val="003D4565"/>
    <w:rsid w:val="003D57C3"/>
    <w:rsid w:val="003D759D"/>
    <w:rsid w:val="003E092B"/>
    <w:rsid w:val="003E0AE3"/>
    <w:rsid w:val="003E3819"/>
    <w:rsid w:val="003E39DE"/>
    <w:rsid w:val="003E713A"/>
    <w:rsid w:val="003F0C2A"/>
    <w:rsid w:val="003F18E8"/>
    <w:rsid w:val="003F21AB"/>
    <w:rsid w:val="003F2D80"/>
    <w:rsid w:val="003F4405"/>
    <w:rsid w:val="003F5466"/>
    <w:rsid w:val="003F6986"/>
    <w:rsid w:val="0040049E"/>
    <w:rsid w:val="0040110F"/>
    <w:rsid w:val="0040116E"/>
    <w:rsid w:val="004029AE"/>
    <w:rsid w:val="00404644"/>
    <w:rsid w:val="00404AF2"/>
    <w:rsid w:val="0040676C"/>
    <w:rsid w:val="004077D2"/>
    <w:rsid w:val="0041077E"/>
    <w:rsid w:val="00411932"/>
    <w:rsid w:val="0041251B"/>
    <w:rsid w:val="0041290B"/>
    <w:rsid w:val="00412EAF"/>
    <w:rsid w:val="004141DD"/>
    <w:rsid w:val="0041671E"/>
    <w:rsid w:val="00417BC1"/>
    <w:rsid w:val="00417DC3"/>
    <w:rsid w:val="00420B70"/>
    <w:rsid w:val="00421DA9"/>
    <w:rsid w:val="00422EA9"/>
    <w:rsid w:val="004234B3"/>
    <w:rsid w:val="004243F1"/>
    <w:rsid w:val="00427276"/>
    <w:rsid w:val="00431CA4"/>
    <w:rsid w:val="00431EF8"/>
    <w:rsid w:val="004321CE"/>
    <w:rsid w:val="0043262C"/>
    <w:rsid w:val="004329B0"/>
    <w:rsid w:val="00432AD8"/>
    <w:rsid w:val="00432D2F"/>
    <w:rsid w:val="00432D42"/>
    <w:rsid w:val="004338F7"/>
    <w:rsid w:val="00433F09"/>
    <w:rsid w:val="00434253"/>
    <w:rsid w:val="004349B8"/>
    <w:rsid w:val="00435B38"/>
    <w:rsid w:val="0043639F"/>
    <w:rsid w:val="0043662C"/>
    <w:rsid w:val="00442E7F"/>
    <w:rsid w:val="0044322F"/>
    <w:rsid w:val="00445857"/>
    <w:rsid w:val="00446BF4"/>
    <w:rsid w:val="00446C25"/>
    <w:rsid w:val="004471E1"/>
    <w:rsid w:val="0044771C"/>
    <w:rsid w:val="00447987"/>
    <w:rsid w:val="004501B5"/>
    <w:rsid w:val="004501D4"/>
    <w:rsid w:val="004505C0"/>
    <w:rsid w:val="00451091"/>
    <w:rsid w:val="004530A5"/>
    <w:rsid w:val="004539C0"/>
    <w:rsid w:val="00454CCB"/>
    <w:rsid w:val="004554B8"/>
    <w:rsid w:val="0045621D"/>
    <w:rsid w:val="00457771"/>
    <w:rsid w:val="00457C50"/>
    <w:rsid w:val="00461133"/>
    <w:rsid w:val="00461CE1"/>
    <w:rsid w:val="004639A3"/>
    <w:rsid w:val="00464049"/>
    <w:rsid w:val="00465137"/>
    <w:rsid w:val="00465241"/>
    <w:rsid w:val="00465A5D"/>
    <w:rsid w:val="00465D87"/>
    <w:rsid w:val="0046619A"/>
    <w:rsid w:val="00467003"/>
    <w:rsid w:val="00467869"/>
    <w:rsid w:val="00471298"/>
    <w:rsid w:val="004718E7"/>
    <w:rsid w:val="004719E6"/>
    <w:rsid w:val="00471F00"/>
    <w:rsid w:val="004723E9"/>
    <w:rsid w:val="00472DDD"/>
    <w:rsid w:val="00474380"/>
    <w:rsid w:val="0047623D"/>
    <w:rsid w:val="00480E1D"/>
    <w:rsid w:val="004811DB"/>
    <w:rsid w:val="00482434"/>
    <w:rsid w:val="004834B6"/>
    <w:rsid w:val="00483850"/>
    <w:rsid w:val="00485360"/>
    <w:rsid w:val="00490843"/>
    <w:rsid w:val="00494965"/>
    <w:rsid w:val="00494FDB"/>
    <w:rsid w:val="00496A68"/>
    <w:rsid w:val="004970A9"/>
    <w:rsid w:val="0049725A"/>
    <w:rsid w:val="004A0150"/>
    <w:rsid w:val="004A0629"/>
    <w:rsid w:val="004A19CE"/>
    <w:rsid w:val="004A1E40"/>
    <w:rsid w:val="004A2192"/>
    <w:rsid w:val="004A37B8"/>
    <w:rsid w:val="004A53C5"/>
    <w:rsid w:val="004A58D2"/>
    <w:rsid w:val="004A6701"/>
    <w:rsid w:val="004A715A"/>
    <w:rsid w:val="004B0ACE"/>
    <w:rsid w:val="004B0B78"/>
    <w:rsid w:val="004B107F"/>
    <w:rsid w:val="004B1539"/>
    <w:rsid w:val="004B2696"/>
    <w:rsid w:val="004B3091"/>
    <w:rsid w:val="004B4A55"/>
    <w:rsid w:val="004C1082"/>
    <w:rsid w:val="004C363C"/>
    <w:rsid w:val="004C4756"/>
    <w:rsid w:val="004C5F27"/>
    <w:rsid w:val="004C6993"/>
    <w:rsid w:val="004C7895"/>
    <w:rsid w:val="004C7CCC"/>
    <w:rsid w:val="004D0140"/>
    <w:rsid w:val="004D04BF"/>
    <w:rsid w:val="004D2A54"/>
    <w:rsid w:val="004D32E5"/>
    <w:rsid w:val="004D3886"/>
    <w:rsid w:val="004D38CF"/>
    <w:rsid w:val="004D42DF"/>
    <w:rsid w:val="004D50D8"/>
    <w:rsid w:val="004D5CE5"/>
    <w:rsid w:val="004D7B30"/>
    <w:rsid w:val="004E0DE9"/>
    <w:rsid w:val="004E0F71"/>
    <w:rsid w:val="004E17FE"/>
    <w:rsid w:val="004E1B1D"/>
    <w:rsid w:val="004E2580"/>
    <w:rsid w:val="004E288A"/>
    <w:rsid w:val="004E2CFE"/>
    <w:rsid w:val="004E2EA4"/>
    <w:rsid w:val="004E5173"/>
    <w:rsid w:val="004E633D"/>
    <w:rsid w:val="004E701B"/>
    <w:rsid w:val="004E71D9"/>
    <w:rsid w:val="004E7C7D"/>
    <w:rsid w:val="004E7C8D"/>
    <w:rsid w:val="004F1045"/>
    <w:rsid w:val="004F3E01"/>
    <w:rsid w:val="004F5820"/>
    <w:rsid w:val="004F583D"/>
    <w:rsid w:val="004F5D1C"/>
    <w:rsid w:val="004F6C4A"/>
    <w:rsid w:val="004F6CB7"/>
    <w:rsid w:val="004F6DE8"/>
    <w:rsid w:val="005006C3"/>
    <w:rsid w:val="00500A6A"/>
    <w:rsid w:val="00501572"/>
    <w:rsid w:val="00501850"/>
    <w:rsid w:val="005039E6"/>
    <w:rsid w:val="00503A79"/>
    <w:rsid w:val="005044F9"/>
    <w:rsid w:val="00505AB4"/>
    <w:rsid w:val="00507F3E"/>
    <w:rsid w:val="005101F7"/>
    <w:rsid w:val="00510547"/>
    <w:rsid w:val="00512E26"/>
    <w:rsid w:val="005137E5"/>
    <w:rsid w:val="00515E54"/>
    <w:rsid w:val="005173A6"/>
    <w:rsid w:val="00520615"/>
    <w:rsid w:val="00521D72"/>
    <w:rsid w:val="0052508B"/>
    <w:rsid w:val="00525C3D"/>
    <w:rsid w:val="00526599"/>
    <w:rsid w:val="00526B72"/>
    <w:rsid w:val="005270D1"/>
    <w:rsid w:val="00531214"/>
    <w:rsid w:val="005319DC"/>
    <w:rsid w:val="00531CB5"/>
    <w:rsid w:val="005331A5"/>
    <w:rsid w:val="005343B2"/>
    <w:rsid w:val="005359EC"/>
    <w:rsid w:val="0053664C"/>
    <w:rsid w:val="00536E9F"/>
    <w:rsid w:val="005372B0"/>
    <w:rsid w:val="00537528"/>
    <w:rsid w:val="00537C3C"/>
    <w:rsid w:val="00540828"/>
    <w:rsid w:val="0054219B"/>
    <w:rsid w:val="00544112"/>
    <w:rsid w:val="005457EF"/>
    <w:rsid w:val="00545EB9"/>
    <w:rsid w:val="00551741"/>
    <w:rsid w:val="0055190F"/>
    <w:rsid w:val="00551FA3"/>
    <w:rsid w:val="00553276"/>
    <w:rsid w:val="00553530"/>
    <w:rsid w:val="005559F6"/>
    <w:rsid w:val="00560F87"/>
    <w:rsid w:val="00563B8A"/>
    <w:rsid w:val="005640F4"/>
    <w:rsid w:val="005643FB"/>
    <w:rsid w:val="0056447C"/>
    <w:rsid w:val="0056599B"/>
    <w:rsid w:val="00567552"/>
    <w:rsid w:val="0057002C"/>
    <w:rsid w:val="00572A05"/>
    <w:rsid w:val="00572C0E"/>
    <w:rsid w:val="005730E1"/>
    <w:rsid w:val="005738DF"/>
    <w:rsid w:val="00575854"/>
    <w:rsid w:val="00575D5E"/>
    <w:rsid w:val="005802DE"/>
    <w:rsid w:val="00581B6F"/>
    <w:rsid w:val="00582C11"/>
    <w:rsid w:val="005830EF"/>
    <w:rsid w:val="00583E1A"/>
    <w:rsid w:val="00584025"/>
    <w:rsid w:val="005861EE"/>
    <w:rsid w:val="005869CE"/>
    <w:rsid w:val="00587CD5"/>
    <w:rsid w:val="00587E0E"/>
    <w:rsid w:val="00590B7F"/>
    <w:rsid w:val="00590BA1"/>
    <w:rsid w:val="00591A09"/>
    <w:rsid w:val="00592399"/>
    <w:rsid w:val="005923A5"/>
    <w:rsid w:val="0059451A"/>
    <w:rsid w:val="00594B23"/>
    <w:rsid w:val="005972E5"/>
    <w:rsid w:val="00597AE7"/>
    <w:rsid w:val="005A04AA"/>
    <w:rsid w:val="005A0D6A"/>
    <w:rsid w:val="005A1FB1"/>
    <w:rsid w:val="005A2B1D"/>
    <w:rsid w:val="005A2C87"/>
    <w:rsid w:val="005A2F00"/>
    <w:rsid w:val="005A2F1F"/>
    <w:rsid w:val="005A418C"/>
    <w:rsid w:val="005A54B3"/>
    <w:rsid w:val="005A5B24"/>
    <w:rsid w:val="005A65B0"/>
    <w:rsid w:val="005A71CD"/>
    <w:rsid w:val="005A77D6"/>
    <w:rsid w:val="005A7F94"/>
    <w:rsid w:val="005B0343"/>
    <w:rsid w:val="005B04CA"/>
    <w:rsid w:val="005B08FF"/>
    <w:rsid w:val="005B0E85"/>
    <w:rsid w:val="005B0FCB"/>
    <w:rsid w:val="005B16CF"/>
    <w:rsid w:val="005B175C"/>
    <w:rsid w:val="005B1D5F"/>
    <w:rsid w:val="005B2CD9"/>
    <w:rsid w:val="005B4175"/>
    <w:rsid w:val="005C3593"/>
    <w:rsid w:val="005C4BAF"/>
    <w:rsid w:val="005C5A33"/>
    <w:rsid w:val="005C6EDF"/>
    <w:rsid w:val="005C783A"/>
    <w:rsid w:val="005D0DBD"/>
    <w:rsid w:val="005D1B09"/>
    <w:rsid w:val="005D2193"/>
    <w:rsid w:val="005D2A1E"/>
    <w:rsid w:val="005D54CD"/>
    <w:rsid w:val="005D5763"/>
    <w:rsid w:val="005D580A"/>
    <w:rsid w:val="005D5C59"/>
    <w:rsid w:val="005D5F05"/>
    <w:rsid w:val="005D6535"/>
    <w:rsid w:val="005D7530"/>
    <w:rsid w:val="005E13E7"/>
    <w:rsid w:val="005E211B"/>
    <w:rsid w:val="005E29D5"/>
    <w:rsid w:val="005E3E33"/>
    <w:rsid w:val="005E487E"/>
    <w:rsid w:val="005E616E"/>
    <w:rsid w:val="005F1928"/>
    <w:rsid w:val="005F4AC9"/>
    <w:rsid w:val="005F606D"/>
    <w:rsid w:val="005F7291"/>
    <w:rsid w:val="005F7CDD"/>
    <w:rsid w:val="0060046C"/>
    <w:rsid w:val="00602CBF"/>
    <w:rsid w:val="00602FF7"/>
    <w:rsid w:val="00604252"/>
    <w:rsid w:val="006054FC"/>
    <w:rsid w:val="00605F41"/>
    <w:rsid w:val="006061D9"/>
    <w:rsid w:val="00607862"/>
    <w:rsid w:val="00607FB4"/>
    <w:rsid w:val="006113D5"/>
    <w:rsid w:val="006116A0"/>
    <w:rsid w:val="00613221"/>
    <w:rsid w:val="00613C9B"/>
    <w:rsid w:val="006160F4"/>
    <w:rsid w:val="00616BAE"/>
    <w:rsid w:val="0062215A"/>
    <w:rsid w:val="006234AC"/>
    <w:rsid w:val="006236AE"/>
    <w:rsid w:val="006236C1"/>
    <w:rsid w:val="00624E05"/>
    <w:rsid w:val="0062526F"/>
    <w:rsid w:val="00625E07"/>
    <w:rsid w:val="00626AD2"/>
    <w:rsid w:val="00626FFF"/>
    <w:rsid w:val="00627229"/>
    <w:rsid w:val="00627DC4"/>
    <w:rsid w:val="00632AD6"/>
    <w:rsid w:val="00632CB5"/>
    <w:rsid w:val="0063698B"/>
    <w:rsid w:val="00637252"/>
    <w:rsid w:val="006375C5"/>
    <w:rsid w:val="006377FE"/>
    <w:rsid w:val="00637CAD"/>
    <w:rsid w:val="00637EFB"/>
    <w:rsid w:val="0064028E"/>
    <w:rsid w:val="006408A7"/>
    <w:rsid w:val="00640A8D"/>
    <w:rsid w:val="006417E1"/>
    <w:rsid w:val="00641953"/>
    <w:rsid w:val="00641A62"/>
    <w:rsid w:val="00642040"/>
    <w:rsid w:val="00642722"/>
    <w:rsid w:val="0064368A"/>
    <w:rsid w:val="006438C4"/>
    <w:rsid w:val="0064397F"/>
    <w:rsid w:val="00644A0A"/>
    <w:rsid w:val="00644A9B"/>
    <w:rsid w:val="006455FE"/>
    <w:rsid w:val="00645C36"/>
    <w:rsid w:val="00645F7C"/>
    <w:rsid w:val="00646AFC"/>
    <w:rsid w:val="00646B22"/>
    <w:rsid w:val="006506AF"/>
    <w:rsid w:val="0065127E"/>
    <w:rsid w:val="00651B07"/>
    <w:rsid w:val="0065308E"/>
    <w:rsid w:val="0065447F"/>
    <w:rsid w:val="00655108"/>
    <w:rsid w:val="006556FA"/>
    <w:rsid w:val="0065613F"/>
    <w:rsid w:val="00656BE5"/>
    <w:rsid w:val="00656E83"/>
    <w:rsid w:val="0065710B"/>
    <w:rsid w:val="006601FA"/>
    <w:rsid w:val="00660B89"/>
    <w:rsid w:val="00660D8B"/>
    <w:rsid w:val="00660DF6"/>
    <w:rsid w:val="0066214F"/>
    <w:rsid w:val="006625A7"/>
    <w:rsid w:val="00662AE3"/>
    <w:rsid w:val="006632AA"/>
    <w:rsid w:val="00665D26"/>
    <w:rsid w:val="006669E2"/>
    <w:rsid w:val="00666C98"/>
    <w:rsid w:val="00666D14"/>
    <w:rsid w:val="00667900"/>
    <w:rsid w:val="00667920"/>
    <w:rsid w:val="00671AB5"/>
    <w:rsid w:val="00674045"/>
    <w:rsid w:val="006749B6"/>
    <w:rsid w:val="006750B7"/>
    <w:rsid w:val="00676B3B"/>
    <w:rsid w:val="00680065"/>
    <w:rsid w:val="00680EA6"/>
    <w:rsid w:val="00681487"/>
    <w:rsid w:val="006817B8"/>
    <w:rsid w:val="00681EA5"/>
    <w:rsid w:val="00682F8B"/>
    <w:rsid w:val="00683407"/>
    <w:rsid w:val="00684A47"/>
    <w:rsid w:val="006858B8"/>
    <w:rsid w:val="00686116"/>
    <w:rsid w:val="006861DF"/>
    <w:rsid w:val="0068728C"/>
    <w:rsid w:val="00694986"/>
    <w:rsid w:val="00696555"/>
    <w:rsid w:val="0069665B"/>
    <w:rsid w:val="00697701"/>
    <w:rsid w:val="006A0A20"/>
    <w:rsid w:val="006A0FA8"/>
    <w:rsid w:val="006A125A"/>
    <w:rsid w:val="006A19BE"/>
    <w:rsid w:val="006A1CD5"/>
    <w:rsid w:val="006A1EED"/>
    <w:rsid w:val="006A23DD"/>
    <w:rsid w:val="006A286A"/>
    <w:rsid w:val="006A3EE4"/>
    <w:rsid w:val="006A40A0"/>
    <w:rsid w:val="006A46BC"/>
    <w:rsid w:val="006A63A8"/>
    <w:rsid w:val="006A7101"/>
    <w:rsid w:val="006A75AC"/>
    <w:rsid w:val="006B4702"/>
    <w:rsid w:val="006B49E1"/>
    <w:rsid w:val="006B50CB"/>
    <w:rsid w:val="006B537E"/>
    <w:rsid w:val="006B67B0"/>
    <w:rsid w:val="006B73CB"/>
    <w:rsid w:val="006B7999"/>
    <w:rsid w:val="006C00BE"/>
    <w:rsid w:val="006C0755"/>
    <w:rsid w:val="006C0B3C"/>
    <w:rsid w:val="006C0EB4"/>
    <w:rsid w:val="006C1162"/>
    <w:rsid w:val="006C1A52"/>
    <w:rsid w:val="006C2ABE"/>
    <w:rsid w:val="006C4038"/>
    <w:rsid w:val="006C431C"/>
    <w:rsid w:val="006C452F"/>
    <w:rsid w:val="006C560E"/>
    <w:rsid w:val="006D0042"/>
    <w:rsid w:val="006D1420"/>
    <w:rsid w:val="006D19D7"/>
    <w:rsid w:val="006D3374"/>
    <w:rsid w:val="006D38D1"/>
    <w:rsid w:val="006D43B2"/>
    <w:rsid w:val="006D479F"/>
    <w:rsid w:val="006D569E"/>
    <w:rsid w:val="006D64D5"/>
    <w:rsid w:val="006D7188"/>
    <w:rsid w:val="006E06C2"/>
    <w:rsid w:val="006E0B46"/>
    <w:rsid w:val="006E1701"/>
    <w:rsid w:val="006E1FB9"/>
    <w:rsid w:val="006E3098"/>
    <w:rsid w:val="006E3E54"/>
    <w:rsid w:val="006E44D4"/>
    <w:rsid w:val="006E499B"/>
    <w:rsid w:val="006E52B5"/>
    <w:rsid w:val="006E56CD"/>
    <w:rsid w:val="006E58D4"/>
    <w:rsid w:val="006E633E"/>
    <w:rsid w:val="006F14D6"/>
    <w:rsid w:val="006F2B33"/>
    <w:rsid w:val="006F2CD8"/>
    <w:rsid w:val="006F3C1C"/>
    <w:rsid w:val="006F6B82"/>
    <w:rsid w:val="006F7452"/>
    <w:rsid w:val="006F7E42"/>
    <w:rsid w:val="0070008C"/>
    <w:rsid w:val="00700232"/>
    <w:rsid w:val="0070134E"/>
    <w:rsid w:val="007030E3"/>
    <w:rsid w:val="00703D4C"/>
    <w:rsid w:val="00707387"/>
    <w:rsid w:val="00707785"/>
    <w:rsid w:val="00710313"/>
    <w:rsid w:val="00710DED"/>
    <w:rsid w:val="0071203C"/>
    <w:rsid w:val="00712383"/>
    <w:rsid w:val="00713736"/>
    <w:rsid w:val="00714C62"/>
    <w:rsid w:val="00716915"/>
    <w:rsid w:val="00716E94"/>
    <w:rsid w:val="0071722C"/>
    <w:rsid w:val="0072040C"/>
    <w:rsid w:val="00721A70"/>
    <w:rsid w:val="00722A9D"/>
    <w:rsid w:val="00723688"/>
    <w:rsid w:val="00725967"/>
    <w:rsid w:val="00725AFB"/>
    <w:rsid w:val="00726127"/>
    <w:rsid w:val="0072655A"/>
    <w:rsid w:val="007279E6"/>
    <w:rsid w:val="00727B54"/>
    <w:rsid w:val="00731A82"/>
    <w:rsid w:val="00731BC8"/>
    <w:rsid w:val="00732AA3"/>
    <w:rsid w:val="00733A09"/>
    <w:rsid w:val="007341A2"/>
    <w:rsid w:val="00735FD3"/>
    <w:rsid w:val="007365C2"/>
    <w:rsid w:val="00737003"/>
    <w:rsid w:val="007375F8"/>
    <w:rsid w:val="00740DF7"/>
    <w:rsid w:val="00741AE8"/>
    <w:rsid w:val="0074427B"/>
    <w:rsid w:val="00745D19"/>
    <w:rsid w:val="00746288"/>
    <w:rsid w:val="007463A7"/>
    <w:rsid w:val="00746467"/>
    <w:rsid w:val="007468E9"/>
    <w:rsid w:val="007514C1"/>
    <w:rsid w:val="00753505"/>
    <w:rsid w:val="007542B2"/>
    <w:rsid w:val="00755B45"/>
    <w:rsid w:val="0075619F"/>
    <w:rsid w:val="00756429"/>
    <w:rsid w:val="0075712A"/>
    <w:rsid w:val="0075718F"/>
    <w:rsid w:val="00760788"/>
    <w:rsid w:val="00762A45"/>
    <w:rsid w:val="00762D00"/>
    <w:rsid w:val="00763644"/>
    <w:rsid w:val="00763B14"/>
    <w:rsid w:val="00764727"/>
    <w:rsid w:val="0076478B"/>
    <w:rsid w:val="0076480D"/>
    <w:rsid w:val="007661CC"/>
    <w:rsid w:val="00772B2C"/>
    <w:rsid w:val="0077301A"/>
    <w:rsid w:val="00773B85"/>
    <w:rsid w:val="00774D93"/>
    <w:rsid w:val="0077623A"/>
    <w:rsid w:val="00776929"/>
    <w:rsid w:val="00776B40"/>
    <w:rsid w:val="00777552"/>
    <w:rsid w:val="0078281D"/>
    <w:rsid w:val="00783347"/>
    <w:rsid w:val="007871B6"/>
    <w:rsid w:val="00787542"/>
    <w:rsid w:val="00790D93"/>
    <w:rsid w:val="00791017"/>
    <w:rsid w:val="00791F02"/>
    <w:rsid w:val="00794701"/>
    <w:rsid w:val="0079644F"/>
    <w:rsid w:val="00796E3E"/>
    <w:rsid w:val="00796ECA"/>
    <w:rsid w:val="00797FE4"/>
    <w:rsid w:val="007A0DF7"/>
    <w:rsid w:val="007A13FF"/>
    <w:rsid w:val="007A2CF2"/>
    <w:rsid w:val="007A357B"/>
    <w:rsid w:val="007B2674"/>
    <w:rsid w:val="007B2768"/>
    <w:rsid w:val="007B32D0"/>
    <w:rsid w:val="007B434A"/>
    <w:rsid w:val="007B4D8A"/>
    <w:rsid w:val="007B6DAA"/>
    <w:rsid w:val="007B78BF"/>
    <w:rsid w:val="007B7952"/>
    <w:rsid w:val="007B7B15"/>
    <w:rsid w:val="007C3E54"/>
    <w:rsid w:val="007C42C1"/>
    <w:rsid w:val="007C51BC"/>
    <w:rsid w:val="007C5E6D"/>
    <w:rsid w:val="007C614A"/>
    <w:rsid w:val="007C6B55"/>
    <w:rsid w:val="007C7F75"/>
    <w:rsid w:val="007D0265"/>
    <w:rsid w:val="007D0C78"/>
    <w:rsid w:val="007D2B18"/>
    <w:rsid w:val="007D2BA7"/>
    <w:rsid w:val="007D2ED2"/>
    <w:rsid w:val="007D4638"/>
    <w:rsid w:val="007D50AD"/>
    <w:rsid w:val="007D51CE"/>
    <w:rsid w:val="007E0401"/>
    <w:rsid w:val="007E0E90"/>
    <w:rsid w:val="007E33F5"/>
    <w:rsid w:val="007E36F8"/>
    <w:rsid w:val="007E3981"/>
    <w:rsid w:val="007E39B1"/>
    <w:rsid w:val="007E4513"/>
    <w:rsid w:val="007E6A49"/>
    <w:rsid w:val="007E6E0B"/>
    <w:rsid w:val="007F0214"/>
    <w:rsid w:val="007F0CD4"/>
    <w:rsid w:val="007F0EBD"/>
    <w:rsid w:val="007F1164"/>
    <w:rsid w:val="007F14B8"/>
    <w:rsid w:val="007F14D5"/>
    <w:rsid w:val="007F214B"/>
    <w:rsid w:val="007F2188"/>
    <w:rsid w:val="007F5747"/>
    <w:rsid w:val="007F69BA"/>
    <w:rsid w:val="007F6FFA"/>
    <w:rsid w:val="00803688"/>
    <w:rsid w:val="0080622C"/>
    <w:rsid w:val="00806570"/>
    <w:rsid w:val="008066EB"/>
    <w:rsid w:val="00807A61"/>
    <w:rsid w:val="00812CF3"/>
    <w:rsid w:val="00813132"/>
    <w:rsid w:val="008133FF"/>
    <w:rsid w:val="008139F8"/>
    <w:rsid w:val="0081446D"/>
    <w:rsid w:val="00815557"/>
    <w:rsid w:val="00815AEE"/>
    <w:rsid w:val="00816214"/>
    <w:rsid w:val="0082218E"/>
    <w:rsid w:val="00825C35"/>
    <w:rsid w:val="00827CD8"/>
    <w:rsid w:val="00831150"/>
    <w:rsid w:val="00832574"/>
    <w:rsid w:val="00833DF3"/>
    <w:rsid w:val="00834295"/>
    <w:rsid w:val="0083564A"/>
    <w:rsid w:val="0083578C"/>
    <w:rsid w:val="00835C96"/>
    <w:rsid w:val="00836477"/>
    <w:rsid w:val="00841199"/>
    <w:rsid w:val="00841959"/>
    <w:rsid w:val="00842483"/>
    <w:rsid w:val="00842B51"/>
    <w:rsid w:val="00844658"/>
    <w:rsid w:val="00844CAB"/>
    <w:rsid w:val="00846E7E"/>
    <w:rsid w:val="00847268"/>
    <w:rsid w:val="0084750D"/>
    <w:rsid w:val="00847ACA"/>
    <w:rsid w:val="00847EB2"/>
    <w:rsid w:val="008500DD"/>
    <w:rsid w:val="00851328"/>
    <w:rsid w:val="00852BF6"/>
    <w:rsid w:val="0085333E"/>
    <w:rsid w:val="00854974"/>
    <w:rsid w:val="008553E5"/>
    <w:rsid w:val="0085550C"/>
    <w:rsid w:val="00856423"/>
    <w:rsid w:val="00860419"/>
    <w:rsid w:val="00860811"/>
    <w:rsid w:val="00860B1A"/>
    <w:rsid w:val="00861319"/>
    <w:rsid w:val="00861B60"/>
    <w:rsid w:val="008628E9"/>
    <w:rsid w:val="00862DA0"/>
    <w:rsid w:val="0086410F"/>
    <w:rsid w:val="00864A8A"/>
    <w:rsid w:val="00865389"/>
    <w:rsid w:val="008665FF"/>
    <w:rsid w:val="0086755E"/>
    <w:rsid w:val="00867E5C"/>
    <w:rsid w:val="0087127D"/>
    <w:rsid w:val="00871837"/>
    <w:rsid w:val="00873065"/>
    <w:rsid w:val="00873D7F"/>
    <w:rsid w:val="008750FE"/>
    <w:rsid w:val="00877BC9"/>
    <w:rsid w:val="00877D5E"/>
    <w:rsid w:val="00880E03"/>
    <w:rsid w:val="008837C3"/>
    <w:rsid w:val="008849BE"/>
    <w:rsid w:val="008865B4"/>
    <w:rsid w:val="00886928"/>
    <w:rsid w:val="00887F6F"/>
    <w:rsid w:val="00887FD1"/>
    <w:rsid w:val="00890D4D"/>
    <w:rsid w:val="008910D2"/>
    <w:rsid w:val="008923A8"/>
    <w:rsid w:val="0089248E"/>
    <w:rsid w:val="00893659"/>
    <w:rsid w:val="00893EB0"/>
    <w:rsid w:val="00893F61"/>
    <w:rsid w:val="00895646"/>
    <w:rsid w:val="008A07C1"/>
    <w:rsid w:val="008A10C7"/>
    <w:rsid w:val="008A2396"/>
    <w:rsid w:val="008A3A6C"/>
    <w:rsid w:val="008A6455"/>
    <w:rsid w:val="008A670C"/>
    <w:rsid w:val="008A7B4F"/>
    <w:rsid w:val="008B01F8"/>
    <w:rsid w:val="008B46EF"/>
    <w:rsid w:val="008B5631"/>
    <w:rsid w:val="008B5909"/>
    <w:rsid w:val="008B7A61"/>
    <w:rsid w:val="008B7B93"/>
    <w:rsid w:val="008B7EA8"/>
    <w:rsid w:val="008C0B4C"/>
    <w:rsid w:val="008C4971"/>
    <w:rsid w:val="008C6513"/>
    <w:rsid w:val="008C686C"/>
    <w:rsid w:val="008C7ABC"/>
    <w:rsid w:val="008D00BC"/>
    <w:rsid w:val="008D1AE7"/>
    <w:rsid w:val="008D2130"/>
    <w:rsid w:val="008D28C3"/>
    <w:rsid w:val="008D31C8"/>
    <w:rsid w:val="008D33C5"/>
    <w:rsid w:val="008D64C6"/>
    <w:rsid w:val="008D78FE"/>
    <w:rsid w:val="008E0F2F"/>
    <w:rsid w:val="008E14B8"/>
    <w:rsid w:val="008E2202"/>
    <w:rsid w:val="008E2A68"/>
    <w:rsid w:val="008E630F"/>
    <w:rsid w:val="008E68FD"/>
    <w:rsid w:val="008E6B89"/>
    <w:rsid w:val="008E6CEF"/>
    <w:rsid w:val="008F17B2"/>
    <w:rsid w:val="008F2A13"/>
    <w:rsid w:val="008F622D"/>
    <w:rsid w:val="008F6829"/>
    <w:rsid w:val="008F6983"/>
    <w:rsid w:val="008F6B1D"/>
    <w:rsid w:val="00901DB6"/>
    <w:rsid w:val="0090223A"/>
    <w:rsid w:val="009025E3"/>
    <w:rsid w:val="00904B91"/>
    <w:rsid w:val="009063A3"/>
    <w:rsid w:val="009063B9"/>
    <w:rsid w:val="00906638"/>
    <w:rsid w:val="00906AEE"/>
    <w:rsid w:val="00910C81"/>
    <w:rsid w:val="00911FE1"/>
    <w:rsid w:val="009138B8"/>
    <w:rsid w:val="009148D6"/>
    <w:rsid w:val="00914C96"/>
    <w:rsid w:val="00915732"/>
    <w:rsid w:val="009158B4"/>
    <w:rsid w:val="009163DA"/>
    <w:rsid w:val="00916EAD"/>
    <w:rsid w:val="0091711B"/>
    <w:rsid w:val="0091715F"/>
    <w:rsid w:val="0091717B"/>
    <w:rsid w:val="00917724"/>
    <w:rsid w:val="00917977"/>
    <w:rsid w:val="009228E3"/>
    <w:rsid w:val="009235C7"/>
    <w:rsid w:val="00924D71"/>
    <w:rsid w:val="00925A01"/>
    <w:rsid w:val="00926915"/>
    <w:rsid w:val="00931489"/>
    <w:rsid w:val="0093470C"/>
    <w:rsid w:val="009358BB"/>
    <w:rsid w:val="00936508"/>
    <w:rsid w:val="0093735C"/>
    <w:rsid w:val="00940846"/>
    <w:rsid w:val="0094174F"/>
    <w:rsid w:val="00944F34"/>
    <w:rsid w:val="00945783"/>
    <w:rsid w:val="00946488"/>
    <w:rsid w:val="00946760"/>
    <w:rsid w:val="00946E59"/>
    <w:rsid w:val="009470CB"/>
    <w:rsid w:val="009473C2"/>
    <w:rsid w:val="0095270D"/>
    <w:rsid w:val="00952CAD"/>
    <w:rsid w:val="00954174"/>
    <w:rsid w:val="0095463E"/>
    <w:rsid w:val="00955346"/>
    <w:rsid w:val="0095544B"/>
    <w:rsid w:val="00956610"/>
    <w:rsid w:val="00956F02"/>
    <w:rsid w:val="009574BB"/>
    <w:rsid w:val="00957AA1"/>
    <w:rsid w:val="00960D38"/>
    <w:rsid w:val="009612E6"/>
    <w:rsid w:val="00961B3C"/>
    <w:rsid w:val="00962108"/>
    <w:rsid w:val="0096347E"/>
    <w:rsid w:val="00963B54"/>
    <w:rsid w:val="00964AC5"/>
    <w:rsid w:val="0096616E"/>
    <w:rsid w:val="00966438"/>
    <w:rsid w:val="00967209"/>
    <w:rsid w:val="00967242"/>
    <w:rsid w:val="009703D8"/>
    <w:rsid w:val="0097077A"/>
    <w:rsid w:val="00972232"/>
    <w:rsid w:val="00974A2F"/>
    <w:rsid w:val="0097527D"/>
    <w:rsid w:val="00975434"/>
    <w:rsid w:val="00976A40"/>
    <w:rsid w:val="00977597"/>
    <w:rsid w:val="00977E48"/>
    <w:rsid w:val="00977F00"/>
    <w:rsid w:val="00981190"/>
    <w:rsid w:val="009821D0"/>
    <w:rsid w:val="0098279D"/>
    <w:rsid w:val="00984712"/>
    <w:rsid w:val="00986701"/>
    <w:rsid w:val="00986C1E"/>
    <w:rsid w:val="00987995"/>
    <w:rsid w:val="0099026D"/>
    <w:rsid w:val="0099228A"/>
    <w:rsid w:val="009923C8"/>
    <w:rsid w:val="0099318A"/>
    <w:rsid w:val="0099352E"/>
    <w:rsid w:val="00993B51"/>
    <w:rsid w:val="0099473F"/>
    <w:rsid w:val="009950AB"/>
    <w:rsid w:val="00995E8F"/>
    <w:rsid w:val="00996573"/>
    <w:rsid w:val="00996FF6"/>
    <w:rsid w:val="009975FD"/>
    <w:rsid w:val="009978C9"/>
    <w:rsid w:val="009A0031"/>
    <w:rsid w:val="009A1118"/>
    <w:rsid w:val="009A1C25"/>
    <w:rsid w:val="009A373F"/>
    <w:rsid w:val="009A3B69"/>
    <w:rsid w:val="009A55E1"/>
    <w:rsid w:val="009A651C"/>
    <w:rsid w:val="009A668A"/>
    <w:rsid w:val="009A790C"/>
    <w:rsid w:val="009B24F1"/>
    <w:rsid w:val="009B31F3"/>
    <w:rsid w:val="009B5855"/>
    <w:rsid w:val="009B6284"/>
    <w:rsid w:val="009B6C9E"/>
    <w:rsid w:val="009C218E"/>
    <w:rsid w:val="009C2D53"/>
    <w:rsid w:val="009C3C6D"/>
    <w:rsid w:val="009D152D"/>
    <w:rsid w:val="009D25A5"/>
    <w:rsid w:val="009D3271"/>
    <w:rsid w:val="009D343C"/>
    <w:rsid w:val="009D35BE"/>
    <w:rsid w:val="009D3902"/>
    <w:rsid w:val="009D3956"/>
    <w:rsid w:val="009D49B4"/>
    <w:rsid w:val="009D4B70"/>
    <w:rsid w:val="009D51F4"/>
    <w:rsid w:val="009D53DA"/>
    <w:rsid w:val="009D5591"/>
    <w:rsid w:val="009D5906"/>
    <w:rsid w:val="009D65B4"/>
    <w:rsid w:val="009D73B2"/>
    <w:rsid w:val="009D75FC"/>
    <w:rsid w:val="009D7710"/>
    <w:rsid w:val="009D7E6C"/>
    <w:rsid w:val="009E0067"/>
    <w:rsid w:val="009E076F"/>
    <w:rsid w:val="009E1911"/>
    <w:rsid w:val="009E1D85"/>
    <w:rsid w:val="009E2F1B"/>
    <w:rsid w:val="009E3487"/>
    <w:rsid w:val="009E3A0A"/>
    <w:rsid w:val="009E43C2"/>
    <w:rsid w:val="009E5277"/>
    <w:rsid w:val="009E553D"/>
    <w:rsid w:val="009E63E6"/>
    <w:rsid w:val="009E6FB8"/>
    <w:rsid w:val="009E7D5D"/>
    <w:rsid w:val="009F1098"/>
    <w:rsid w:val="009F1B6E"/>
    <w:rsid w:val="009F3EEB"/>
    <w:rsid w:val="009F4A78"/>
    <w:rsid w:val="009F6399"/>
    <w:rsid w:val="009F734A"/>
    <w:rsid w:val="009F7A69"/>
    <w:rsid w:val="00A002D9"/>
    <w:rsid w:val="00A004BA"/>
    <w:rsid w:val="00A008C2"/>
    <w:rsid w:val="00A0151A"/>
    <w:rsid w:val="00A015AE"/>
    <w:rsid w:val="00A02ABA"/>
    <w:rsid w:val="00A03480"/>
    <w:rsid w:val="00A0521C"/>
    <w:rsid w:val="00A05D4D"/>
    <w:rsid w:val="00A0678A"/>
    <w:rsid w:val="00A070BB"/>
    <w:rsid w:val="00A071AF"/>
    <w:rsid w:val="00A10640"/>
    <w:rsid w:val="00A10E22"/>
    <w:rsid w:val="00A117E1"/>
    <w:rsid w:val="00A11FB6"/>
    <w:rsid w:val="00A123FC"/>
    <w:rsid w:val="00A1257B"/>
    <w:rsid w:val="00A1264D"/>
    <w:rsid w:val="00A12B95"/>
    <w:rsid w:val="00A13B33"/>
    <w:rsid w:val="00A157E7"/>
    <w:rsid w:val="00A15C3F"/>
    <w:rsid w:val="00A16D90"/>
    <w:rsid w:val="00A21DB2"/>
    <w:rsid w:val="00A229E6"/>
    <w:rsid w:val="00A23692"/>
    <w:rsid w:val="00A2397B"/>
    <w:rsid w:val="00A249DC"/>
    <w:rsid w:val="00A24D3C"/>
    <w:rsid w:val="00A254ED"/>
    <w:rsid w:val="00A254EF"/>
    <w:rsid w:val="00A25FB6"/>
    <w:rsid w:val="00A2600E"/>
    <w:rsid w:val="00A27A4B"/>
    <w:rsid w:val="00A30904"/>
    <w:rsid w:val="00A30CE2"/>
    <w:rsid w:val="00A30D18"/>
    <w:rsid w:val="00A31CEF"/>
    <w:rsid w:val="00A3275E"/>
    <w:rsid w:val="00A34BF1"/>
    <w:rsid w:val="00A3516F"/>
    <w:rsid w:val="00A36F22"/>
    <w:rsid w:val="00A37AF3"/>
    <w:rsid w:val="00A410B7"/>
    <w:rsid w:val="00A413F3"/>
    <w:rsid w:val="00A41B94"/>
    <w:rsid w:val="00A41E46"/>
    <w:rsid w:val="00A42C5C"/>
    <w:rsid w:val="00A42F6F"/>
    <w:rsid w:val="00A44F32"/>
    <w:rsid w:val="00A47C6A"/>
    <w:rsid w:val="00A50299"/>
    <w:rsid w:val="00A53495"/>
    <w:rsid w:val="00A5467E"/>
    <w:rsid w:val="00A548E2"/>
    <w:rsid w:val="00A55CB8"/>
    <w:rsid w:val="00A561C1"/>
    <w:rsid w:val="00A5656C"/>
    <w:rsid w:val="00A56C81"/>
    <w:rsid w:val="00A57833"/>
    <w:rsid w:val="00A578F2"/>
    <w:rsid w:val="00A609BC"/>
    <w:rsid w:val="00A6123C"/>
    <w:rsid w:val="00A61C99"/>
    <w:rsid w:val="00A62BDB"/>
    <w:rsid w:val="00A646A2"/>
    <w:rsid w:val="00A64B90"/>
    <w:rsid w:val="00A64E89"/>
    <w:rsid w:val="00A65C11"/>
    <w:rsid w:val="00A660BB"/>
    <w:rsid w:val="00A6613F"/>
    <w:rsid w:val="00A66DCC"/>
    <w:rsid w:val="00A671B3"/>
    <w:rsid w:val="00A74AE8"/>
    <w:rsid w:val="00A75626"/>
    <w:rsid w:val="00A768DC"/>
    <w:rsid w:val="00A77C57"/>
    <w:rsid w:val="00A80997"/>
    <w:rsid w:val="00A81294"/>
    <w:rsid w:val="00A8209A"/>
    <w:rsid w:val="00A82578"/>
    <w:rsid w:val="00A837FD"/>
    <w:rsid w:val="00A83C97"/>
    <w:rsid w:val="00A863D8"/>
    <w:rsid w:val="00A863E6"/>
    <w:rsid w:val="00A913D4"/>
    <w:rsid w:val="00A91879"/>
    <w:rsid w:val="00A91E62"/>
    <w:rsid w:val="00A92B79"/>
    <w:rsid w:val="00A9421B"/>
    <w:rsid w:val="00A94936"/>
    <w:rsid w:val="00A94F2F"/>
    <w:rsid w:val="00A96000"/>
    <w:rsid w:val="00AA0F20"/>
    <w:rsid w:val="00AA24AA"/>
    <w:rsid w:val="00AA2BD9"/>
    <w:rsid w:val="00AA2C5A"/>
    <w:rsid w:val="00AA3C8A"/>
    <w:rsid w:val="00AA4728"/>
    <w:rsid w:val="00AA7072"/>
    <w:rsid w:val="00AA7959"/>
    <w:rsid w:val="00AA7DFD"/>
    <w:rsid w:val="00AB0CED"/>
    <w:rsid w:val="00AB1359"/>
    <w:rsid w:val="00AB1D05"/>
    <w:rsid w:val="00AB2817"/>
    <w:rsid w:val="00AB35BB"/>
    <w:rsid w:val="00AB3958"/>
    <w:rsid w:val="00AB53F1"/>
    <w:rsid w:val="00AB54D0"/>
    <w:rsid w:val="00AB554E"/>
    <w:rsid w:val="00AB6B41"/>
    <w:rsid w:val="00AB71E7"/>
    <w:rsid w:val="00AB7598"/>
    <w:rsid w:val="00AC112A"/>
    <w:rsid w:val="00AC1392"/>
    <w:rsid w:val="00AC1787"/>
    <w:rsid w:val="00AC59EF"/>
    <w:rsid w:val="00AC7C6C"/>
    <w:rsid w:val="00AD029A"/>
    <w:rsid w:val="00AD13C9"/>
    <w:rsid w:val="00AD1658"/>
    <w:rsid w:val="00AD3506"/>
    <w:rsid w:val="00AD510C"/>
    <w:rsid w:val="00AD5206"/>
    <w:rsid w:val="00AD5AEA"/>
    <w:rsid w:val="00AD6770"/>
    <w:rsid w:val="00AD6A6D"/>
    <w:rsid w:val="00AD7064"/>
    <w:rsid w:val="00AE1186"/>
    <w:rsid w:val="00AE2BF2"/>
    <w:rsid w:val="00AE3629"/>
    <w:rsid w:val="00AE3B65"/>
    <w:rsid w:val="00AE4A4E"/>
    <w:rsid w:val="00AE4CC2"/>
    <w:rsid w:val="00AE6FEA"/>
    <w:rsid w:val="00AE719B"/>
    <w:rsid w:val="00AF0045"/>
    <w:rsid w:val="00AF0642"/>
    <w:rsid w:val="00AF10E3"/>
    <w:rsid w:val="00AF174A"/>
    <w:rsid w:val="00AF29D6"/>
    <w:rsid w:val="00AF355B"/>
    <w:rsid w:val="00AF3D19"/>
    <w:rsid w:val="00AF41F6"/>
    <w:rsid w:val="00AF4A8E"/>
    <w:rsid w:val="00AF5A90"/>
    <w:rsid w:val="00AF7480"/>
    <w:rsid w:val="00AF7DC3"/>
    <w:rsid w:val="00B02876"/>
    <w:rsid w:val="00B033AC"/>
    <w:rsid w:val="00B04BE9"/>
    <w:rsid w:val="00B04C2B"/>
    <w:rsid w:val="00B05356"/>
    <w:rsid w:val="00B05958"/>
    <w:rsid w:val="00B065CC"/>
    <w:rsid w:val="00B06B7D"/>
    <w:rsid w:val="00B06F5E"/>
    <w:rsid w:val="00B07D46"/>
    <w:rsid w:val="00B1027B"/>
    <w:rsid w:val="00B11313"/>
    <w:rsid w:val="00B119BE"/>
    <w:rsid w:val="00B12160"/>
    <w:rsid w:val="00B13440"/>
    <w:rsid w:val="00B13E48"/>
    <w:rsid w:val="00B15CD4"/>
    <w:rsid w:val="00B173BD"/>
    <w:rsid w:val="00B17C9C"/>
    <w:rsid w:val="00B20043"/>
    <w:rsid w:val="00B21885"/>
    <w:rsid w:val="00B21D90"/>
    <w:rsid w:val="00B22DCD"/>
    <w:rsid w:val="00B23129"/>
    <w:rsid w:val="00B24108"/>
    <w:rsid w:val="00B251D8"/>
    <w:rsid w:val="00B25442"/>
    <w:rsid w:val="00B32BEB"/>
    <w:rsid w:val="00B34403"/>
    <w:rsid w:val="00B360C8"/>
    <w:rsid w:val="00B36810"/>
    <w:rsid w:val="00B405A4"/>
    <w:rsid w:val="00B40E79"/>
    <w:rsid w:val="00B4146B"/>
    <w:rsid w:val="00B4236B"/>
    <w:rsid w:val="00B4259B"/>
    <w:rsid w:val="00B4371C"/>
    <w:rsid w:val="00B455BA"/>
    <w:rsid w:val="00B45FC9"/>
    <w:rsid w:val="00B461DF"/>
    <w:rsid w:val="00B46978"/>
    <w:rsid w:val="00B508CD"/>
    <w:rsid w:val="00B50F72"/>
    <w:rsid w:val="00B51DF2"/>
    <w:rsid w:val="00B5300D"/>
    <w:rsid w:val="00B53B44"/>
    <w:rsid w:val="00B54D30"/>
    <w:rsid w:val="00B555BF"/>
    <w:rsid w:val="00B56345"/>
    <w:rsid w:val="00B568F4"/>
    <w:rsid w:val="00B57AA0"/>
    <w:rsid w:val="00B57AFA"/>
    <w:rsid w:val="00B6015C"/>
    <w:rsid w:val="00B60834"/>
    <w:rsid w:val="00B65351"/>
    <w:rsid w:val="00B66F04"/>
    <w:rsid w:val="00B67138"/>
    <w:rsid w:val="00B70AFC"/>
    <w:rsid w:val="00B70E21"/>
    <w:rsid w:val="00B70E28"/>
    <w:rsid w:val="00B7127C"/>
    <w:rsid w:val="00B71934"/>
    <w:rsid w:val="00B71B8F"/>
    <w:rsid w:val="00B73440"/>
    <w:rsid w:val="00B756E6"/>
    <w:rsid w:val="00B7665E"/>
    <w:rsid w:val="00B76CCB"/>
    <w:rsid w:val="00B775F9"/>
    <w:rsid w:val="00B77BA7"/>
    <w:rsid w:val="00B77EB9"/>
    <w:rsid w:val="00B80A17"/>
    <w:rsid w:val="00B8148D"/>
    <w:rsid w:val="00B816E9"/>
    <w:rsid w:val="00B81CB0"/>
    <w:rsid w:val="00B82037"/>
    <w:rsid w:val="00B8297A"/>
    <w:rsid w:val="00B82B38"/>
    <w:rsid w:val="00B841E6"/>
    <w:rsid w:val="00B84720"/>
    <w:rsid w:val="00B85613"/>
    <w:rsid w:val="00B9020D"/>
    <w:rsid w:val="00B90905"/>
    <w:rsid w:val="00B94449"/>
    <w:rsid w:val="00B95F6D"/>
    <w:rsid w:val="00B96F1E"/>
    <w:rsid w:val="00B977C8"/>
    <w:rsid w:val="00B97C00"/>
    <w:rsid w:val="00BA1E90"/>
    <w:rsid w:val="00BA284B"/>
    <w:rsid w:val="00BA309C"/>
    <w:rsid w:val="00BA3900"/>
    <w:rsid w:val="00BA3A52"/>
    <w:rsid w:val="00BA3B13"/>
    <w:rsid w:val="00BA673E"/>
    <w:rsid w:val="00BA6E27"/>
    <w:rsid w:val="00BA7A91"/>
    <w:rsid w:val="00BB0897"/>
    <w:rsid w:val="00BB1C26"/>
    <w:rsid w:val="00BB4003"/>
    <w:rsid w:val="00BB4E6A"/>
    <w:rsid w:val="00BB5077"/>
    <w:rsid w:val="00BB5297"/>
    <w:rsid w:val="00BC09EA"/>
    <w:rsid w:val="00BC2178"/>
    <w:rsid w:val="00BC234C"/>
    <w:rsid w:val="00BC2BC5"/>
    <w:rsid w:val="00BC2C86"/>
    <w:rsid w:val="00BC3818"/>
    <w:rsid w:val="00BC552D"/>
    <w:rsid w:val="00BC6A16"/>
    <w:rsid w:val="00BC718C"/>
    <w:rsid w:val="00BC72E4"/>
    <w:rsid w:val="00BC7472"/>
    <w:rsid w:val="00BC7828"/>
    <w:rsid w:val="00BD0F18"/>
    <w:rsid w:val="00BD1FD3"/>
    <w:rsid w:val="00BD3D68"/>
    <w:rsid w:val="00BD3EF5"/>
    <w:rsid w:val="00BD59D6"/>
    <w:rsid w:val="00BD6D9C"/>
    <w:rsid w:val="00BD7E9A"/>
    <w:rsid w:val="00BE0255"/>
    <w:rsid w:val="00BE0C1C"/>
    <w:rsid w:val="00BE0EEA"/>
    <w:rsid w:val="00BE1CAF"/>
    <w:rsid w:val="00BE24A3"/>
    <w:rsid w:val="00BE3F2C"/>
    <w:rsid w:val="00BE4305"/>
    <w:rsid w:val="00BE517B"/>
    <w:rsid w:val="00BE56BF"/>
    <w:rsid w:val="00BE5C46"/>
    <w:rsid w:val="00BE74B8"/>
    <w:rsid w:val="00BF0210"/>
    <w:rsid w:val="00BF050C"/>
    <w:rsid w:val="00BF08EC"/>
    <w:rsid w:val="00BF1C09"/>
    <w:rsid w:val="00BF28CB"/>
    <w:rsid w:val="00BF32F9"/>
    <w:rsid w:val="00BF38C7"/>
    <w:rsid w:val="00BF4722"/>
    <w:rsid w:val="00BF694F"/>
    <w:rsid w:val="00BF79CE"/>
    <w:rsid w:val="00BF7B97"/>
    <w:rsid w:val="00C0018C"/>
    <w:rsid w:val="00C00C4A"/>
    <w:rsid w:val="00C02D0E"/>
    <w:rsid w:val="00C04767"/>
    <w:rsid w:val="00C04A1D"/>
    <w:rsid w:val="00C070C2"/>
    <w:rsid w:val="00C07803"/>
    <w:rsid w:val="00C10B32"/>
    <w:rsid w:val="00C115CC"/>
    <w:rsid w:val="00C11735"/>
    <w:rsid w:val="00C119C8"/>
    <w:rsid w:val="00C11C59"/>
    <w:rsid w:val="00C1465B"/>
    <w:rsid w:val="00C152FD"/>
    <w:rsid w:val="00C2009F"/>
    <w:rsid w:val="00C2021D"/>
    <w:rsid w:val="00C20ADC"/>
    <w:rsid w:val="00C20EC6"/>
    <w:rsid w:val="00C22AB3"/>
    <w:rsid w:val="00C23066"/>
    <w:rsid w:val="00C26913"/>
    <w:rsid w:val="00C26D54"/>
    <w:rsid w:val="00C26E7F"/>
    <w:rsid w:val="00C30EAF"/>
    <w:rsid w:val="00C314AE"/>
    <w:rsid w:val="00C34FC4"/>
    <w:rsid w:val="00C35527"/>
    <w:rsid w:val="00C35E00"/>
    <w:rsid w:val="00C36FA8"/>
    <w:rsid w:val="00C37E9D"/>
    <w:rsid w:val="00C40A8F"/>
    <w:rsid w:val="00C40E67"/>
    <w:rsid w:val="00C41829"/>
    <w:rsid w:val="00C42FE8"/>
    <w:rsid w:val="00C43F71"/>
    <w:rsid w:val="00C4603E"/>
    <w:rsid w:val="00C46398"/>
    <w:rsid w:val="00C46423"/>
    <w:rsid w:val="00C473F6"/>
    <w:rsid w:val="00C5099A"/>
    <w:rsid w:val="00C5171F"/>
    <w:rsid w:val="00C52253"/>
    <w:rsid w:val="00C56D07"/>
    <w:rsid w:val="00C61A78"/>
    <w:rsid w:val="00C62A04"/>
    <w:rsid w:val="00C666C1"/>
    <w:rsid w:val="00C67E24"/>
    <w:rsid w:val="00C7188A"/>
    <w:rsid w:val="00C72C7A"/>
    <w:rsid w:val="00C74C71"/>
    <w:rsid w:val="00C779B2"/>
    <w:rsid w:val="00C77FA4"/>
    <w:rsid w:val="00C80132"/>
    <w:rsid w:val="00C806EE"/>
    <w:rsid w:val="00C80BC4"/>
    <w:rsid w:val="00C81076"/>
    <w:rsid w:val="00C81E32"/>
    <w:rsid w:val="00C82FF8"/>
    <w:rsid w:val="00C845F0"/>
    <w:rsid w:val="00C8644A"/>
    <w:rsid w:val="00C87CD8"/>
    <w:rsid w:val="00C91AEE"/>
    <w:rsid w:val="00C92418"/>
    <w:rsid w:val="00C92486"/>
    <w:rsid w:val="00C92867"/>
    <w:rsid w:val="00C933E9"/>
    <w:rsid w:val="00C960B8"/>
    <w:rsid w:val="00C962ED"/>
    <w:rsid w:val="00C96ACF"/>
    <w:rsid w:val="00C96DD3"/>
    <w:rsid w:val="00CA0901"/>
    <w:rsid w:val="00CA2288"/>
    <w:rsid w:val="00CA2647"/>
    <w:rsid w:val="00CA3121"/>
    <w:rsid w:val="00CA4085"/>
    <w:rsid w:val="00CA48B0"/>
    <w:rsid w:val="00CA4E96"/>
    <w:rsid w:val="00CA59E7"/>
    <w:rsid w:val="00CA61AD"/>
    <w:rsid w:val="00CA6616"/>
    <w:rsid w:val="00CA67ED"/>
    <w:rsid w:val="00CB06F8"/>
    <w:rsid w:val="00CB1452"/>
    <w:rsid w:val="00CB18B6"/>
    <w:rsid w:val="00CB2F23"/>
    <w:rsid w:val="00CB3236"/>
    <w:rsid w:val="00CB4571"/>
    <w:rsid w:val="00CB5C0C"/>
    <w:rsid w:val="00CB5DD9"/>
    <w:rsid w:val="00CB6396"/>
    <w:rsid w:val="00CB63C9"/>
    <w:rsid w:val="00CB6C90"/>
    <w:rsid w:val="00CC08CA"/>
    <w:rsid w:val="00CC0A35"/>
    <w:rsid w:val="00CC331E"/>
    <w:rsid w:val="00CC3C31"/>
    <w:rsid w:val="00CC40CA"/>
    <w:rsid w:val="00CC5C9A"/>
    <w:rsid w:val="00CD08E0"/>
    <w:rsid w:val="00CD131C"/>
    <w:rsid w:val="00CD13B2"/>
    <w:rsid w:val="00CD20FC"/>
    <w:rsid w:val="00CD2599"/>
    <w:rsid w:val="00CD3386"/>
    <w:rsid w:val="00CD3F36"/>
    <w:rsid w:val="00CD712B"/>
    <w:rsid w:val="00CD72F2"/>
    <w:rsid w:val="00CD76C3"/>
    <w:rsid w:val="00CE0415"/>
    <w:rsid w:val="00CE0955"/>
    <w:rsid w:val="00CE13B3"/>
    <w:rsid w:val="00CE1CD4"/>
    <w:rsid w:val="00CE23C0"/>
    <w:rsid w:val="00CE2719"/>
    <w:rsid w:val="00CE2ACC"/>
    <w:rsid w:val="00CE3BBC"/>
    <w:rsid w:val="00CE56AB"/>
    <w:rsid w:val="00CE5CC6"/>
    <w:rsid w:val="00CE64D6"/>
    <w:rsid w:val="00CE6662"/>
    <w:rsid w:val="00CF0642"/>
    <w:rsid w:val="00CF0707"/>
    <w:rsid w:val="00CF1872"/>
    <w:rsid w:val="00CF378F"/>
    <w:rsid w:val="00CF3928"/>
    <w:rsid w:val="00CF4851"/>
    <w:rsid w:val="00CF5887"/>
    <w:rsid w:val="00D00F25"/>
    <w:rsid w:val="00D054CC"/>
    <w:rsid w:val="00D0556C"/>
    <w:rsid w:val="00D05A74"/>
    <w:rsid w:val="00D067DE"/>
    <w:rsid w:val="00D07B85"/>
    <w:rsid w:val="00D07BF8"/>
    <w:rsid w:val="00D10A15"/>
    <w:rsid w:val="00D111AA"/>
    <w:rsid w:val="00D11C29"/>
    <w:rsid w:val="00D131FE"/>
    <w:rsid w:val="00D16182"/>
    <w:rsid w:val="00D17BED"/>
    <w:rsid w:val="00D215D9"/>
    <w:rsid w:val="00D233D8"/>
    <w:rsid w:val="00D2422C"/>
    <w:rsid w:val="00D25EBF"/>
    <w:rsid w:val="00D2640A"/>
    <w:rsid w:val="00D276A0"/>
    <w:rsid w:val="00D27AAA"/>
    <w:rsid w:val="00D30ACE"/>
    <w:rsid w:val="00D30FEC"/>
    <w:rsid w:val="00D32A7C"/>
    <w:rsid w:val="00D339DA"/>
    <w:rsid w:val="00D33D83"/>
    <w:rsid w:val="00D34E77"/>
    <w:rsid w:val="00D34FB9"/>
    <w:rsid w:val="00D3598B"/>
    <w:rsid w:val="00D35D3C"/>
    <w:rsid w:val="00D36142"/>
    <w:rsid w:val="00D365F0"/>
    <w:rsid w:val="00D4070A"/>
    <w:rsid w:val="00D4104F"/>
    <w:rsid w:val="00D41C57"/>
    <w:rsid w:val="00D42DFC"/>
    <w:rsid w:val="00D435AC"/>
    <w:rsid w:val="00D4371F"/>
    <w:rsid w:val="00D44B53"/>
    <w:rsid w:val="00D46771"/>
    <w:rsid w:val="00D4686B"/>
    <w:rsid w:val="00D46988"/>
    <w:rsid w:val="00D47291"/>
    <w:rsid w:val="00D477BA"/>
    <w:rsid w:val="00D50641"/>
    <w:rsid w:val="00D50677"/>
    <w:rsid w:val="00D50829"/>
    <w:rsid w:val="00D515D5"/>
    <w:rsid w:val="00D51693"/>
    <w:rsid w:val="00D519B3"/>
    <w:rsid w:val="00D51B80"/>
    <w:rsid w:val="00D521A1"/>
    <w:rsid w:val="00D52638"/>
    <w:rsid w:val="00D56653"/>
    <w:rsid w:val="00D56D6B"/>
    <w:rsid w:val="00D574B4"/>
    <w:rsid w:val="00D60322"/>
    <w:rsid w:val="00D6089F"/>
    <w:rsid w:val="00D60CEB"/>
    <w:rsid w:val="00D62369"/>
    <w:rsid w:val="00D62A51"/>
    <w:rsid w:val="00D63A8C"/>
    <w:rsid w:val="00D6483D"/>
    <w:rsid w:val="00D64A51"/>
    <w:rsid w:val="00D66951"/>
    <w:rsid w:val="00D66B80"/>
    <w:rsid w:val="00D6775D"/>
    <w:rsid w:val="00D67C06"/>
    <w:rsid w:val="00D70853"/>
    <w:rsid w:val="00D71E39"/>
    <w:rsid w:val="00D74743"/>
    <w:rsid w:val="00D757AE"/>
    <w:rsid w:val="00D81A3C"/>
    <w:rsid w:val="00D82989"/>
    <w:rsid w:val="00D8383B"/>
    <w:rsid w:val="00D84045"/>
    <w:rsid w:val="00D843F8"/>
    <w:rsid w:val="00D84ADA"/>
    <w:rsid w:val="00D862D1"/>
    <w:rsid w:val="00D86741"/>
    <w:rsid w:val="00D86CDA"/>
    <w:rsid w:val="00D87259"/>
    <w:rsid w:val="00D93BD9"/>
    <w:rsid w:val="00D94707"/>
    <w:rsid w:val="00D97DCC"/>
    <w:rsid w:val="00DA11E2"/>
    <w:rsid w:val="00DA1593"/>
    <w:rsid w:val="00DA17B9"/>
    <w:rsid w:val="00DA4EB4"/>
    <w:rsid w:val="00DA591E"/>
    <w:rsid w:val="00DA5B4A"/>
    <w:rsid w:val="00DA64A8"/>
    <w:rsid w:val="00DA65DC"/>
    <w:rsid w:val="00DA72E8"/>
    <w:rsid w:val="00DB24AA"/>
    <w:rsid w:val="00DB3CE7"/>
    <w:rsid w:val="00DB409E"/>
    <w:rsid w:val="00DB5483"/>
    <w:rsid w:val="00DB797D"/>
    <w:rsid w:val="00DC1DC5"/>
    <w:rsid w:val="00DC3D4C"/>
    <w:rsid w:val="00DC3E45"/>
    <w:rsid w:val="00DC43D9"/>
    <w:rsid w:val="00DC45AD"/>
    <w:rsid w:val="00DC75A4"/>
    <w:rsid w:val="00DC7933"/>
    <w:rsid w:val="00DD15EE"/>
    <w:rsid w:val="00DD277F"/>
    <w:rsid w:val="00DD28E9"/>
    <w:rsid w:val="00DD2AFA"/>
    <w:rsid w:val="00DD48E0"/>
    <w:rsid w:val="00DD4C37"/>
    <w:rsid w:val="00DD4EE2"/>
    <w:rsid w:val="00DE25DC"/>
    <w:rsid w:val="00DE30C8"/>
    <w:rsid w:val="00DE43DA"/>
    <w:rsid w:val="00DE5E3B"/>
    <w:rsid w:val="00DE7968"/>
    <w:rsid w:val="00DF1E47"/>
    <w:rsid w:val="00DF7155"/>
    <w:rsid w:val="00DF730E"/>
    <w:rsid w:val="00DF750D"/>
    <w:rsid w:val="00E004B2"/>
    <w:rsid w:val="00E01E66"/>
    <w:rsid w:val="00E02400"/>
    <w:rsid w:val="00E02E96"/>
    <w:rsid w:val="00E0459D"/>
    <w:rsid w:val="00E04EDE"/>
    <w:rsid w:val="00E0753B"/>
    <w:rsid w:val="00E11269"/>
    <w:rsid w:val="00E11C70"/>
    <w:rsid w:val="00E12162"/>
    <w:rsid w:val="00E13814"/>
    <w:rsid w:val="00E13B33"/>
    <w:rsid w:val="00E13D71"/>
    <w:rsid w:val="00E14EA5"/>
    <w:rsid w:val="00E157C8"/>
    <w:rsid w:val="00E16B14"/>
    <w:rsid w:val="00E20A44"/>
    <w:rsid w:val="00E21FFB"/>
    <w:rsid w:val="00E226DB"/>
    <w:rsid w:val="00E27AC5"/>
    <w:rsid w:val="00E27B5F"/>
    <w:rsid w:val="00E27B7F"/>
    <w:rsid w:val="00E30D25"/>
    <w:rsid w:val="00E31A00"/>
    <w:rsid w:val="00E33FA4"/>
    <w:rsid w:val="00E34955"/>
    <w:rsid w:val="00E35D45"/>
    <w:rsid w:val="00E36AC7"/>
    <w:rsid w:val="00E401CE"/>
    <w:rsid w:val="00E41BF3"/>
    <w:rsid w:val="00E43793"/>
    <w:rsid w:val="00E44BBC"/>
    <w:rsid w:val="00E4563A"/>
    <w:rsid w:val="00E466E0"/>
    <w:rsid w:val="00E46EAB"/>
    <w:rsid w:val="00E51388"/>
    <w:rsid w:val="00E51399"/>
    <w:rsid w:val="00E53416"/>
    <w:rsid w:val="00E54A27"/>
    <w:rsid w:val="00E55983"/>
    <w:rsid w:val="00E56F56"/>
    <w:rsid w:val="00E56F60"/>
    <w:rsid w:val="00E57268"/>
    <w:rsid w:val="00E60C91"/>
    <w:rsid w:val="00E6132A"/>
    <w:rsid w:val="00E618AB"/>
    <w:rsid w:val="00E63CD6"/>
    <w:rsid w:val="00E63FED"/>
    <w:rsid w:val="00E651CC"/>
    <w:rsid w:val="00E67023"/>
    <w:rsid w:val="00E67930"/>
    <w:rsid w:val="00E70291"/>
    <w:rsid w:val="00E703FD"/>
    <w:rsid w:val="00E71868"/>
    <w:rsid w:val="00E71B2E"/>
    <w:rsid w:val="00E71FA6"/>
    <w:rsid w:val="00E720B3"/>
    <w:rsid w:val="00E733A7"/>
    <w:rsid w:val="00E745E4"/>
    <w:rsid w:val="00E74F8F"/>
    <w:rsid w:val="00E750EE"/>
    <w:rsid w:val="00E7525A"/>
    <w:rsid w:val="00E7579A"/>
    <w:rsid w:val="00E761A4"/>
    <w:rsid w:val="00E76A1B"/>
    <w:rsid w:val="00E76F71"/>
    <w:rsid w:val="00E76FFD"/>
    <w:rsid w:val="00E77888"/>
    <w:rsid w:val="00E77CEB"/>
    <w:rsid w:val="00E80A85"/>
    <w:rsid w:val="00E8435D"/>
    <w:rsid w:val="00E84D1B"/>
    <w:rsid w:val="00E85C9C"/>
    <w:rsid w:val="00E85E53"/>
    <w:rsid w:val="00E86A0C"/>
    <w:rsid w:val="00E91B5E"/>
    <w:rsid w:val="00E9334F"/>
    <w:rsid w:val="00E93576"/>
    <w:rsid w:val="00E936DA"/>
    <w:rsid w:val="00E95136"/>
    <w:rsid w:val="00E963A9"/>
    <w:rsid w:val="00E96604"/>
    <w:rsid w:val="00E96D84"/>
    <w:rsid w:val="00EA0A7A"/>
    <w:rsid w:val="00EA0F24"/>
    <w:rsid w:val="00EA10EE"/>
    <w:rsid w:val="00EA1DD3"/>
    <w:rsid w:val="00EA33F5"/>
    <w:rsid w:val="00EA442A"/>
    <w:rsid w:val="00EA6CDE"/>
    <w:rsid w:val="00EB0405"/>
    <w:rsid w:val="00EB2461"/>
    <w:rsid w:val="00EB2623"/>
    <w:rsid w:val="00EB4335"/>
    <w:rsid w:val="00EB531A"/>
    <w:rsid w:val="00EB60D9"/>
    <w:rsid w:val="00EB6DCC"/>
    <w:rsid w:val="00EB7A33"/>
    <w:rsid w:val="00EC0F3E"/>
    <w:rsid w:val="00EC1882"/>
    <w:rsid w:val="00EC1A63"/>
    <w:rsid w:val="00EC1E56"/>
    <w:rsid w:val="00EC3E63"/>
    <w:rsid w:val="00EC532C"/>
    <w:rsid w:val="00EC5C35"/>
    <w:rsid w:val="00EC60B6"/>
    <w:rsid w:val="00EC62C0"/>
    <w:rsid w:val="00EC65CE"/>
    <w:rsid w:val="00EC6796"/>
    <w:rsid w:val="00EC7DDF"/>
    <w:rsid w:val="00ED0391"/>
    <w:rsid w:val="00ED06AB"/>
    <w:rsid w:val="00ED1CB1"/>
    <w:rsid w:val="00ED1D54"/>
    <w:rsid w:val="00ED4921"/>
    <w:rsid w:val="00ED6216"/>
    <w:rsid w:val="00EE0332"/>
    <w:rsid w:val="00EE08AB"/>
    <w:rsid w:val="00EE1831"/>
    <w:rsid w:val="00EE343D"/>
    <w:rsid w:val="00EE378B"/>
    <w:rsid w:val="00EE447A"/>
    <w:rsid w:val="00EE643F"/>
    <w:rsid w:val="00EE6FEB"/>
    <w:rsid w:val="00EE73E2"/>
    <w:rsid w:val="00EE7B92"/>
    <w:rsid w:val="00EF11FE"/>
    <w:rsid w:val="00EF1213"/>
    <w:rsid w:val="00EF21BF"/>
    <w:rsid w:val="00EF323F"/>
    <w:rsid w:val="00EF4084"/>
    <w:rsid w:val="00EF4621"/>
    <w:rsid w:val="00EF4C6E"/>
    <w:rsid w:val="00EF5CDF"/>
    <w:rsid w:val="00EF6B26"/>
    <w:rsid w:val="00EF6BBE"/>
    <w:rsid w:val="00F0186E"/>
    <w:rsid w:val="00F0199D"/>
    <w:rsid w:val="00F047CB"/>
    <w:rsid w:val="00F05861"/>
    <w:rsid w:val="00F05F11"/>
    <w:rsid w:val="00F07289"/>
    <w:rsid w:val="00F073C2"/>
    <w:rsid w:val="00F10903"/>
    <w:rsid w:val="00F10AD6"/>
    <w:rsid w:val="00F10F09"/>
    <w:rsid w:val="00F12B75"/>
    <w:rsid w:val="00F143C1"/>
    <w:rsid w:val="00F15A28"/>
    <w:rsid w:val="00F16A00"/>
    <w:rsid w:val="00F17884"/>
    <w:rsid w:val="00F17C27"/>
    <w:rsid w:val="00F244C5"/>
    <w:rsid w:val="00F25E66"/>
    <w:rsid w:val="00F25F96"/>
    <w:rsid w:val="00F27F9F"/>
    <w:rsid w:val="00F30E57"/>
    <w:rsid w:val="00F3272E"/>
    <w:rsid w:val="00F32E9F"/>
    <w:rsid w:val="00F35CA7"/>
    <w:rsid w:val="00F3644E"/>
    <w:rsid w:val="00F36F2F"/>
    <w:rsid w:val="00F40793"/>
    <w:rsid w:val="00F414D1"/>
    <w:rsid w:val="00F42573"/>
    <w:rsid w:val="00F42B64"/>
    <w:rsid w:val="00F44642"/>
    <w:rsid w:val="00F47626"/>
    <w:rsid w:val="00F516C5"/>
    <w:rsid w:val="00F51ED0"/>
    <w:rsid w:val="00F5449F"/>
    <w:rsid w:val="00F56B02"/>
    <w:rsid w:val="00F6059A"/>
    <w:rsid w:val="00F616F9"/>
    <w:rsid w:val="00F643E6"/>
    <w:rsid w:val="00F64C27"/>
    <w:rsid w:val="00F64C2B"/>
    <w:rsid w:val="00F64C80"/>
    <w:rsid w:val="00F70AFB"/>
    <w:rsid w:val="00F71C13"/>
    <w:rsid w:val="00F722B4"/>
    <w:rsid w:val="00F72D7B"/>
    <w:rsid w:val="00F7385C"/>
    <w:rsid w:val="00F74458"/>
    <w:rsid w:val="00F74929"/>
    <w:rsid w:val="00F75E09"/>
    <w:rsid w:val="00F75F8A"/>
    <w:rsid w:val="00F770FC"/>
    <w:rsid w:val="00F773E3"/>
    <w:rsid w:val="00F77D46"/>
    <w:rsid w:val="00F77E07"/>
    <w:rsid w:val="00F8087B"/>
    <w:rsid w:val="00F80D0D"/>
    <w:rsid w:val="00F81004"/>
    <w:rsid w:val="00F8162D"/>
    <w:rsid w:val="00F81C88"/>
    <w:rsid w:val="00F822EE"/>
    <w:rsid w:val="00F83AED"/>
    <w:rsid w:val="00F83C9A"/>
    <w:rsid w:val="00F83FE6"/>
    <w:rsid w:val="00F84C12"/>
    <w:rsid w:val="00F85862"/>
    <w:rsid w:val="00F86288"/>
    <w:rsid w:val="00F864A1"/>
    <w:rsid w:val="00F8688E"/>
    <w:rsid w:val="00F86990"/>
    <w:rsid w:val="00F873E3"/>
    <w:rsid w:val="00F900EE"/>
    <w:rsid w:val="00F9046A"/>
    <w:rsid w:val="00F91656"/>
    <w:rsid w:val="00F957DD"/>
    <w:rsid w:val="00F95B28"/>
    <w:rsid w:val="00FA0B09"/>
    <w:rsid w:val="00FA129A"/>
    <w:rsid w:val="00FA15C3"/>
    <w:rsid w:val="00FA58F6"/>
    <w:rsid w:val="00FA6A0B"/>
    <w:rsid w:val="00FA7EA0"/>
    <w:rsid w:val="00FB0245"/>
    <w:rsid w:val="00FB190F"/>
    <w:rsid w:val="00FB26B8"/>
    <w:rsid w:val="00FB31E9"/>
    <w:rsid w:val="00FB3588"/>
    <w:rsid w:val="00FB4AA2"/>
    <w:rsid w:val="00FB5609"/>
    <w:rsid w:val="00FB57ED"/>
    <w:rsid w:val="00FB74EA"/>
    <w:rsid w:val="00FC169D"/>
    <w:rsid w:val="00FC18A7"/>
    <w:rsid w:val="00FC1B1C"/>
    <w:rsid w:val="00FC31A1"/>
    <w:rsid w:val="00FC3A17"/>
    <w:rsid w:val="00FC3DBA"/>
    <w:rsid w:val="00FC589C"/>
    <w:rsid w:val="00FC5A59"/>
    <w:rsid w:val="00FC5C3A"/>
    <w:rsid w:val="00FC5FFF"/>
    <w:rsid w:val="00FC6CBB"/>
    <w:rsid w:val="00FC7214"/>
    <w:rsid w:val="00FC745D"/>
    <w:rsid w:val="00FC79F4"/>
    <w:rsid w:val="00FD0DCF"/>
    <w:rsid w:val="00FD1B58"/>
    <w:rsid w:val="00FD3AAD"/>
    <w:rsid w:val="00FD4A80"/>
    <w:rsid w:val="00FD5EFC"/>
    <w:rsid w:val="00FD68F2"/>
    <w:rsid w:val="00FD6E47"/>
    <w:rsid w:val="00FD73CE"/>
    <w:rsid w:val="00FD774C"/>
    <w:rsid w:val="00FE291F"/>
    <w:rsid w:val="00FE2FF9"/>
    <w:rsid w:val="00FE38B0"/>
    <w:rsid w:val="00FE38E0"/>
    <w:rsid w:val="00FE3E62"/>
    <w:rsid w:val="00FE46FF"/>
    <w:rsid w:val="00FE4AA8"/>
    <w:rsid w:val="00FE5A2A"/>
    <w:rsid w:val="00FE6F7D"/>
    <w:rsid w:val="00FE786F"/>
    <w:rsid w:val="00FE7A9C"/>
    <w:rsid w:val="00FF18CD"/>
    <w:rsid w:val="00FF40E5"/>
    <w:rsid w:val="00FF56A7"/>
    <w:rsid w:val="00FF73D8"/>
    <w:rsid w:val="00FF7443"/>
    <w:rsid w:val="00FF7A52"/>
    <w:rsid w:val="028AE7C8"/>
    <w:rsid w:val="03BD536F"/>
    <w:rsid w:val="04F371E7"/>
    <w:rsid w:val="05C6B66F"/>
    <w:rsid w:val="0600296B"/>
    <w:rsid w:val="06341854"/>
    <w:rsid w:val="082A7B31"/>
    <w:rsid w:val="083492CB"/>
    <w:rsid w:val="084016BE"/>
    <w:rsid w:val="08C249E7"/>
    <w:rsid w:val="09CE56DE"/>
    <w:rsid w:val="0AD95D05"/>
    <w:rsid w:val="0B25CB10"/>
    <w:rsid w:val="0B3ADFED"/>
    <w:rsid w:val="0B8728B4"/>
    <w:rsid w:val="0D98A823"/>
    <w:rsid w:val="0F26A2A0"/>
    <w:rsid w:val="0F90B0A2"/>
    <w:rsid w:val="0FE6A34F"/>
    <w:rsid w:val="10483A19"/>
    <w:rsid w:val="104AAFFE"/>
    <w:rsid w:val="10566F2D"/>
    <w:rsid w:val="105ACFE3"/>
    <w:rsid w:val="1102DA16"/>
    <w:rsid w:val="119F7572"/>
    <w:rsid w:val="1274ABEA"/>
    <w:rsid w:val="136901C2"/>
    <w:rsid w:val="149C33CC"/>
    <w:rsid w:val="14CBF09A"/>
    <w:rsid w:val="1589D793"/>
    <w:rsid w:val="15D61C9E"/>
    <w:rsid w:val="164E38C2"/>
    <w:rsid w:val="179150B0"/>
    <w:rsid w:val="198868A5"/>
    <w:rsid w:val="1AC074A3"/>
    <w:rsid w:val="1C3E7437"/>
    <w:rsid w:val="1D143133"/>
    <w:rsid w:val="1E606C54"/>
    <w:rsid w:val="1EA954BA"/>
    <w:rsid w:val="206970D7"/>
    <w:rsid w:val="21A0F6BB"/>
    <w:rsid w:val="21A4900B"/>
    <w:rsid w:val="21D6D0FB"/>
    <w:rsid w:val="2214B194"/>
    <w:rsid w:val="23AEBB8D"/>
    <w:rsid w:val="240E0A03"/>
    <w:rsid w:val="25465DDB"/>
    <w:rsid w:val="254D7963"/>
    <w:rsid w:val="26BBA2E4"/>
    <w:rsid w:val="276958C6"/>
    <w:rsid w:val="27B7D0D2"/>
    <w:rsid w:val="2844262D"/>
    <w:rsid w:val="29CD1D88"/>
    <w:rsid w:val="29D86EAA"/>
    <w:rsid w:val="29E1CF87"/>
    <w:rsid w:val="2AACB6E7"/>
    <w:rsid w:val="2BD44042"/>
    <w:rsid w:val="2C392425"/>
    <w:rsid w:val="2C81BD9D"/>
    <w:rsid w:val="2D05F39C"/>
    <w:rsid w:val="2F27351B"/>
    <w:rsid w:val="303A5535"/>
    <w:rsid w:val="320205C1"/>
    <w:rsid w:val="3599599D"/>
    <w:rsid w:val="36C40506"/>
    <w:rsid w:val="38FACC3C"/>
    <w:rsid w:val="39038655"/>
    <w:rsid w:val="39BBB99C"/>
    <w:rsid w:val="3A7F0C17"/>
    <w:rsid w:val="3ACF4F1D"/>
    <w:rsid w:val="3D14C06B"/>
    <w:rsid w:val="3EAB906F"/>
    <w:rsid w:val="3EF4D526"/>
    <w:rsid w:val="3EF605AE"/>
    <w:rsid w:val="3F91E483"/>
    <w:rsid w:val="40AA1CBF"/>
    <w:rsid w:val="426025D3"/>
    <w:rsid w:val="42C00523"/>
    <w:rsid w:val="44FC283D"/>
    <w:rsid w:val="4675B18B"/>
    <w:rsid w:val="46F28B1A"/>
    <w:rsid w:val="4700D194"/>
    <w:rsid w:val="47108BB2"/>
    <w:rsid w:val="471C2B62"/>
    <w:rsid w:val="474F7B76"/>
    <w:rsid w:val="487DE6B7"/>
    <w:rsid w:val="489C0647"/>
    <w:rsid w:val="48D1BED3"/>
    <w:rsid w:val="495A4AF0"/>
    <w:rsid w:val="49B0AF87"/>
    <w:rsid w:val="4A8559ED"/>
    <w:rsid w:val="4CA66BAD"/>
    <w:rsid w:val="4CF560C6"/>
    <w:rsid w:val="50F1D4CD"/>
    <w:rsid w:val="50F79A4A"/>
    <w:rsid w:val="512C9F8F"/>
    <w:rsid w:val="530BDD43"/>
    <w:rsid w:val="544E3BA7"/>
    <w:rsid w:val="5476E1B4"/>
    <w:rsid w:val="5484941C"/>
    <w:rsid w:val="556C470B"/>
    <w:rsid w:val="55AC13F6"/>
    <w:rsid w:val="55BBD783"/>
    <w:rsid w:val="57AA0116"/>
    <w:rsid w:val="58BD18BE"/>
    <w:rsid w:val="59D5B143"/>
    <w:rsid w:val="5A1DA3EC"/>
    <w:rsid w:val="5B41BD65"/>
    <w:rsid w:val="5B95436B"/>
    <w:rsid w:val="5BFE059A"/>
    <w:rsid w:val="5F1B16D7"/>
    <w:rsid w:val="60ADCBBD"/>
    <w:rsid w:val="60F7B9DF"/>
    <w:rsid w:val="629421B8"/>
    <w:rsid w:val="63414E35"/>
    <w:rsid w:val="6AFC56CA"/>
    <w:rsid w:val="6B369DAC"/>
    <w:rsid w:val="6B4677BD"/>
    <w:rsid w:val="6C4E0A4A"/>
    <w:rsid w:val="6C7A13C0"/>
    <w:rsid w:val="6C8AF873"/>
    <w:rsid w:val="6F061FB5"/>
    <w:rsid w:val="6F9F3D9B"/>
    <w:rsid w:val="6FA96881"/>
    <w:rsid w:val="70E7B419"/>
    <w:rsid w:val="717B33A4"/>
    <w:rsid w:val="71906CE5"/>
    <w:rsid w:val="7254D778"/>
    <w:rsid w:val="72B2319A"/>
    <w:rsid w:val="73DF5BF1"/>
    <w:rsid w:val="741F6E1A"/>
    <w:rsid w:val="7463526F"/>
    <w:rsid w:val="77D2BF33"/>
    <w:rsid w:val="7822DC55"/>
    <w:rsid w:val="78252960"/>
    <w:rsid w:val="78D9B6E0"/>
    <w:rsid w:val="79815893"/>
    <w:rsid w:val="79B9EAAA"/>
    <w:rsid w:val="7A934317"/>
    <w:rsid w:val="7AC541AE"/>
    <w:rsid w:val="7B5D4414"/>
    <w:rsid w:val="7B98DBA2"/>
    <w:rsid w:val="7CF89A83"/>
    <w:rsid w:val="7D0DF4A0"/>
    <w:rsid w:val="7D27C74A"/>
    <w:rsid w:val="7D3BF193"/>
    <w:rsid w:val="7D633D1C"/>
    <w:rsid w:val="7DD4F424"/>
    <w:rsid w:val="7E398880"/>
    <w:rsid w:val="7EBC2F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48FEB"/>
  <w15:chartTrackingRefBased/>
  <w15:docId w15:val="{002E2C72-D848-40E3-9D52-0E656F9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3E40" w:themeColor="text2"/>
        <w:lang w:val="en-US" w:eastAsia="en-US" w:bidi="ar-SA"/>
      </w:rPr>
    </w:rPrDefault>
    <w:pPrDefault>
      <w:pPr>
        <w:spacing w:after="12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78C"/>
    <w:pPr>
      <w:spacing w:before="280" w:after="0" w:line="240" w:lineRule="auto"/>
    </w:pPr>
    <w:rPr>
      <w:color w:val="000000" w:themeColor="text1"/>
      <w:sz w:val="24"/>
      <w:lang w:val="nb-NO"/>
    </w:rPr>
  </w:style>
  <w:style w:type="paragraph" w:styleId="Overskrift1">
    <w:name w:val="heading 1"/>
    <w:basedOn w:val="Normal"/>
    <w:next w:val="Normal"/>
    <w:link w:val="Overskrift1Tegn"/>
    <w:uiPriority w:val="9"/>
    <w:qFormat/>
    <w:rsid w:val="00C96DD3"/>
    <w:pPr>
      <w:keepNext/>
      <w:keepLines/>
      <w:spacing w:before="0" w:line="120" w:lineRule="auto"/>
      <w:outlineLvl w:val="0"/>
    </w:pPr>
    <w:rPr>
      <w:rFonts w:asciiTheme="majorHAnsi" w:eastAsiaTheme="majorEastAsia" w:hAnsiTheme="majorHAnsi" w:cstheme="majorBidi"/>
      <w:b/>
      <w:sz w:val="56"/>
      <w:szCs w:val="32"/>
    </w:rPr>
  </w:style>
  <w:style w:type="paragraph" w:styleId="Overskrift2">
    <w:name w:val="heading 2"/>
    <w:basedOn w:val="Normal"/>
    <w:next w:val="Normal"/>
    <w:link w:val="Overskrift2Tegn"/>
    <w:uiPriority w:val="9"/>
    <w:unhideWhenUsed/>
    <w:qFormat/>
    <w:rsid w:val="00B508CD"/>
    <w:pPr>
      <w:keepNext/>
      <w:keepLines/>
      <w:spacing w:before="0"/>
      <w:outlineLvl w:val="1"/>
    </w:pPr>
    <w:rPr>
      <w:rFonts w:asciiTheme="majorHAnsi" w:eastAsiaTheme="majorEastAsia" w:hAnsiTheme="majorHAnsi" w:cstheme="majorBidi"/>
      <w:b/>
      <w:sz w:val="48"/>
      <w:szCs w:val="26"/>
    </w:rPr>
  </w:style>
  <w:style w:type="paragraph" w:styleId="Overskrift3">
    <w:name w:val="heading 3"/>
    <w:basedOn w:val="Normal"/>
    <w:next w:val="Normal"/>
    <w:link w:val="Overskrift3Tegn"/>
    <w:uiPriority w:val="9"/>
    <w:unhideWhenUsed/>
    <w:qFormat/>
    <w:rsid w:val="00B508CD"/>
    <w:pPr>
      <w:keepNext/>
      <w:keepLines/>
      <w:spacing w:before="60"/>
      <w:outlineLvl w:val="2"/>
    </w:pPr>
    <w:rPr>
      <w:rFonts w:asciiTheme="majorHAnsi" w:eastAsiaTheme="majorEastAsia" w:hAnsiTheme="majorHAnsi" w:cstheme="majorBidi"/>
      <w:b/>
      <w:sz w:val="28"/>
      <w:szCs w:val="24"/>
    </w:rPr>
  </w:style>
  <w:style w:type="paragraph" w:styleId="Overskrift4">
    <w:name w:val="heading 4"/>
    <w:basedOn w:val="Normal"/>
    <w:next w:val="Normal"/>
    <w:link w:val="Overskrift4Tegn"/>
    <w:uiPriority w:val="9"/>
    <w:unhideWhenUsed/>
    <w:qFormat/>
    <w:rsid w:val="00DE25DC"/>
    <w:pPr>
      <w:keepNext/>
      <w:keepLines/>
      <w:spacing w:before="40"/>
      <w:outlineLvl w:val="3"/>
    </w:pPr>
    <w:rPr>
      <w:rFonts w:asciiTheme="majorHAnsi" w:eastAsiaTheme="majorEastAsia" w:hAnsiTheme="majorHAnsi" w:cstheme="majorBidi"/>
      <w:i/>
      <w:iCs/>
      <w:color w:val="7BA88B" w:themeColor="accent1" w:themeShade="BF"/>
    </w:rPr>
  </w:style>
  <w:style w:type="paragraph" w:styleId="Overskrift5">
    <w:name w:val="heading 5"/>
    <w:basedOn w:val="Normal"/>
    <w:next w:val="Normal"/>
    <w:link w:val="Overskrift5Tegn"/>
    <w:uiPriority w:val="9"/>
    <w:unhideWhenUsed/>
    <w:qFormat/>
    <w:rsid w:val="00DE25DC"/>
    <w:pPr>
      <w:keepNext/>
      <w:keepLines/>
      <w:spacing w:before="40"/>
      <w:outlineLvl w:val="4"/>
    </w:pPr>
    <w:rPr>
      <w:rFonts w:asciiTheme="majorHAnsi" w:eastAsiaTheme="majorEastAsia" w:hAnsiTheme="majorHAnsi" w:cstheme="majorBidi"/>
      <w:color w:val="7BA88B"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7301A"/>
    <w:pPr>
      <w:tabs>
        <w:tab w:val="center" w:pos="4680"/>
        <w:tab w:val="right" w:pos="9360"/>
      </w:tabs>
      <w:spacing w:before="0"/>
    </w:pPr>
    <w:rPr>
      <w:sz w:val="20"/>
    </w:rPr>
  </w:style>
  <w:style w:type="character" w:customStyle="1" w:styleId="TopptekstTegn">
    <w:name w:val="Topptekst Tegn"/>
    <w:basedOn w:val="Standardskriftforavsnitt"/>
    <w:link w:val="Topptekst"/>
    <w:uiPriority w:val="99"/>
    <w:rsid w:val="0077301A"/>
  </w:style>
  <w:style w:type="paragraph" w:styleId="Bunntekst">
    <w:name w:val="footer"/>
    <w:basedOn w:val="Normal"/>
    <w:link w:val="BunntekstTegn"/>
    <w:uiPriority w:val="99"/>
    <w:unhideWhenUsed/>
    <w:rsid w:val="0077301A"/>
    <w:pPr>
      <w:tabs>
        <w:tab w:val="center" w:pos="4680"/>
        <w:tab w:val="right" w:pos="9360"/>
      </w:tabs>
      <w:spacing w:before="0"/>
    </w:pPr>
    <w:rPr>
      <w:sz w:val="20"/>
    </w:rPr>
  </w:style>
  <w:style w:type="character" w:customStyle="1" w:styleId="BunntekstTegn">
    <w:name w:val="Bunntekst Tegn"/>
    <w:basedOn w:val="Standardskriftforavsnitt"/>
    <w:link w:val="Bunntekst"/>
    <w:uiPriority w:val="99"/>
    <w:rsid w:val="0077301A"/>
  </w:style>
  <w:style w:type="table" w:styleId="Tabellrutenett">
    <w:name w:val="Table Grid"/>
    <w:basedOn w:val="Vanligtabell"/>
    <w:uiPriority w:val="39"/>
    <w:rsid w:val="0077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64727"/>
    <w:pPr>
      <w:spacing w:before="0"/>
      <w:contextualSpacing/>
    </w:pPr>
    <w:rPr>
      <w:rFonts w:asciiTheme="majorHAnsi" w:eastAsiaTheme="majorEastAsia" w:hAnsiTheme="majorHAnsi" w:cstheme="majorBidi"/>
      <w:b/>
      <w:caps/>
      <w:color w:val="403E40" w:themeColor="text2"/>
      <w:spacing w:val="20"/>
      <w:kern w:val="28"/>
      <w:sz w:val="54"/>
      <w:szCs w:val="56"/>
    </w:rPr>
  </w:style>
  <w:style w:type="character" w:customStyle="1" w:styleId="TittelTegn">
    <w:name w:val="Tittel Tegn"/>
    <w:basedOn w:val="Standardskriftforavsnitt"/>
    <w:link w:val="Tittel"/>
    <w:uiPriority w:val="10"/>
    <w:rsid w:val="00764727"/>
    <w:rPr>
      <w:rFonts w:asciiTheme="majorHAnsi" w:eastAsiaTheme="majorEastAsia" w:hAnsiTheme="majorHAnsi" w:cstheme="majorBidi"/>
      <w:b/>
      <w:caps/>
      <w:spacing w:val="20"/>
      <w:kern w:val="28"/>
      <w:sz w:val="54"/>
      <w:szCs w:val="56"/>
    </w:rPr>
  </w:style>
  <w:style w:type="paragraph" w:styleId="Undertittel">
    <w:name w:val="Subtitle"/>
    <w:basedOn w:val="Normal"/>
    <w:next w:val="Normal"/>
    <w:link w:val="UndertittelTegn"/>
    <w:uiPriority w:val="11"/>
    <w:qFormat/>
    <w:rsid w:val="00C26D54"/>
    <w:pPr>
      <w:framePr w:hSpace="181" w:wrap="around" w:vAnchor="page" w:hAnchor="page" w:x="1305" w:y="1521"/>
      <w:numPr>
        <w:ilvl w:val="1"/>
      </w:numPr>
      <w:spacing w:before="0" w:after="80"/>
      <w:suppressOverlap/>
    </w:pPr>
    <w:rPr>
      <w:rFonts w:eastAsiaTheme="minorEastAsia"/>
      <w:color w:val="403E40" w:themeColor="text2"/>
      <w:sz w:val="32"/>
      <w:szCs w:val="22"/>
    </w:rPr>
  </w:style>
  <w:style w:type="character" w:customStyle="1" w:styleId="UndertittelTegn">
    <w:name w:val="Undertittel Tegn"/>
    <w:basedOn w:val="Standardskriftforavsnitt"/>
    <w:link w:val="Undertittel"/>
    <w:uiPriority w:val="11"/>
    <w:rsid w:val="00C26D54"/>
    <w:rPr>
      <w:rFonts w:eastAsiaTheme="minorEastAsia"/>
      <w:sz w:val="32"/>
      <w:szCs w:val="22"/>
      <w:lang w:val="nb-NO"/>
    </w:rPr>
  </w:style>
  <w:style w:type="character" w:customStyle="1" w:styleId="Overskrift1Tegn">
    <w:name w:val="Overskrift 1 Tegn"/>
    <w:basedOn w:val="Standardskriftforavsnitt"/>
    <w:link w:val="Overskrift1"/>
    <w:uiPriority w:val="9"/>
    <w:rsid w:val="00C96DD3"/>
    <w:rPr>
      <w:rFonts w:asciiTheme="majorHAnsi" w:eastAsiaTheme="majorEastAsia" w:hAnsiTheme="majorHAnsi" w:cstheme="majorBidi"/>
      <w:b/>
      <w:color w:val="000000" w:themeColor="text1"/>
      <w:sz w:val="56"/>
      <w:szCs w:val="32"/>
      <w:lang w:val="nb-NO"/>
    </w:rPr>
  </w:style>
  <w:style w:type="character" w:customStyle="1" w:styleId="Overskrift2Tegn">
    <w:name w:val="Overskrift 2 Tegn"/>
    <w:basedOn w:val="Standardskriftforavsnitt"/>
    <w:link w:val="Overskrift2"/>
    <w:uiPriority w:val="9"/>
    <w:rsid w:val="00B508CD"/>
    <w:rPr>
      <w:rFonts w:asciiTheme="majorHAnsi" w:eastAsiaTheme="majorEastAsia" w:hAnsiTheme="majorHAnsi" w:cstheme="majorBidi"/>
      <w:b/>
      <w:color w:val="000000" w:themeColor="text1"/>
      <w:sz w:val="48"/>
      <w:szCs w:val="26"/>
      <w:lang w:val="nb-NO"/>
    </w:rPr>
  </w:style>
  <w:style w:type="paragraph" w:customStyle="1" w:styleId="Mindretekst">
    <w:name w:val="Mindre tekst"/>
    <w:basedOn w:val="Normal"/>
    <w:qFormat/>
    <w:rsid w:val="000C2DE2"/>
    <w:pPr>
      <w:spacing w:before="0"/>
    </w:pPr>
    <w:rPr>
      <w:sz w:val="18"/>
    </w:rPr>
  </w:style>
  <w:style w:type="character" w:styleId="Sterk">
    <w:name w:val="Strong"/>
    <w:basedOn w:val="Standardskriftforavsnitt"/>
    <w:uiPriority w:val="22"/>
    <w:qFormat/>
    <w:rsid w:val="000C2DE2"/>
    <w:rPr>
      <w:b/>
      <w:bCs/>
    </w:rPr>
  </w:style>
  <w:style w:type="table" w:customStyle="1" w:styleId="Skjematabell">
    <w:name w:val="Skjematabell"/>
    <w:basedOn w:val="Vanligtabell"/>
    <w:uiPriority w:val="99"/>
    <w:rsid w:val="00E733A7"/>
    <w:pPr>
      <w:spacing w:after="0" w:line="240" w:lineRule="auto"/>
    </w:pPr>
    <w:tblPr>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style>
  <w:style w:type="paragraph" w:styleId="Bobletekst">
    <w:name w:val="Balloon Text"/>
    <w:basedOn w:val="Normal"/>
    <w:link w:val="BobletekstTegn"/>
    <w:uiPriority w:val="99"/>
    <w:semiHidden/>
    <w:unhideWhenUsed/>
    <w:rsid w:val="00BC2C86"/>
    <w:pPr>
      <w:spacing w:before="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2C86"/>
    <w:rPr>
      <w:rFonts w:ascii="Segoe UI" w:hAnsi="Segoe UI" w:cs="Segoe UI"/>
      <w:color w:val="000000" w:themeColor="text1"/>
      <w:sz w:val="18"/>
      <w:szCs w:val="18"/>
    </w:rPr>
  </w:style>
  <w:style w:type="paragraph" w:styleId="Ingenmellomrom">
    <w:name w:val="No Spacing"/>
    <w:uiPriority w:val="1"/>
    <w:qFormat/>
    <w:rsid w:val="00BC234C"/>
    <w:pPr>
      <w:spacing w:after="0" w:line="240" w:lineRule="auto"/>
    </w:pPr>
    <w:rPr>
      <w:color w:val="000000" w:themeColor="text1"/>
    </w:rPr>
  </w:style>
  <w:style w:type="paragraph" w:styleId="Punktliste">
    <w:name w:val="List Bullet"/>
    <w:basedOn w:val="Normal"/>
    <w:uiPriority w:val="99"/>
    <w:unhideWhenUsed/>
    <w:rsid w:val="002071BF"/>
    <w:pPr>
      <w:numPr>
        <w:numId w:val="1"/>
      </w:numPr>
      <w:spacing w:before="0" w:after="80"/>
      <w:ind w:left="369" w:hanging="369"/>
    </w:pPr>
  </w:style>
  <w:style w:type="character" w:customStyle="1" w:styleId="Overskrift3Tegn">
    <w:name w:val="Overskrift 3 Tegn"/>
    <w:basedOn w:val="Standardskriftforavsnitt"/>
    <w:link w:val="Overskrift3"/>
    <w:uiPriority w:val="9"/>
    <w:rsid w:val="00B508CD"/>
    <w:rPr>
      <w:rFonts w:asciiTheme="majorHAnsi" w:eastAsiaTheme="majorEastAsia" w:hAnsiTheme="majorHAnsi" w:cstheme="majorBidi"/>
      <w:b/>
      <w:color w:val="000000" w:themeColor="text1"/>
      <w:sz w:val="28"/>
      <w:szCs w:val="24"/>
      <w:lang w:val="nb-NO"/>
    </w:rPr>
  </w:style>
  <w:style w:type="character" w:styleId="Plassholdertekst">
    <w:name w:val="Placeholder Text"/>
    <w:basedOn w:val="Standardskriftforavsnitt"/>
    <w:uiPriority w:val="99"/>
    <w:semiHidden/>
    <w:rsid w:val="00137BCB"/>
    <w:rPr>
      <w:vanish/>
      <w:color w:val="808080"/>
    </w:rPr>
  </w:style>
  <w:style w:type="paragraph" w:customStyle="1" w:styleId="Pa0">
    <w:name w:val="Pa0"/>
    <w:basedOn w:val="Normal"/>
    <w:next w:val="Normal"/>
    <w:uiPriority w:val="99"/>
    <w:rsid w:val="006D19D7"/>
    <w:pPr>
      <w:autoSpaceDE w:val="0"/>
      <w:autoSpaceDN w:val="0"/>
      <w:adjustRightInd w:val="0"/>
      <w:spacing w:before="0" w:line="241" w:lineRule="atLeast"/>
    </w:pPr>
    <w:rPr>
      <w:rFonts w:ascii="Calibri" w:hAnsi="Calibri" w:cs="Calibri"/>
      <w:color w:val="403E40" w:themeColor="text2"/>
      <w:szCs w:val="24"/>
    </w:rPr>
  </w:style>
  <w:style w:type="character" w:customStyle="1" w:styleId="A1">
    <w:name w:val="A1"/>
    <w:uiPriority w:val="99"/>
    <w:rsid w:val="006D19D7"/>
    <w:rPr>
      <w:color w:val="211D1E"/>
      <w:sz w:val="18"/>
      <w:szCs w:val="18"/>
    </w:rPr>
  </w:style>
  <w:style w:type="paragraph" w:customStyle="1" w:styleId="Punktlistealfanumerisk">
    <w:name w:val="Punktliste alfanumerisk"/>
    <w:basedOn w:val="Mindretekst"/>
    <w:rsid w:val="00836477"/>
    <w:pPr>
      <w:numPr>
        <w:numId w:val="2"/>
      </w:numPr>
      <w:spacing w:after="220"/>
      <w:ind w:left="170" w:hanging="170"/>
    </w:pPr>
    <w:rPr>
      <w:noProof/>
    </w:rPr>
  </w:style>
  <w:style w:type="paragraph" w:styleId="Listeavsnitt">
    <w:name w:val="List Paragraph"/>
    <w:basedOn w:val="Normal"/>
    <w:uiPriority w:val="34"/>
    <w:qFormat/>
    <w:rsid w:val="002071BF"/>
    <w:pPr>
      <w:ind w:left="720"/>
      <w:contextualSpacing/>
    </w:pPr>
  </w:style>
  <w:style w:type="table" w:customStyle="1" w:styleId="Skjematabell1">
    <w:name w:val="Skjematabell1"/>
    <w:basedOn w:val="Vanligtabell"/>
    <w:uiPriority w:val="99"/>
    <w:rsid w:val="00627229"/>
    <w:pPr>
      <w:spacing w:after="0" w:line="240" w:lineRule="auto"/>
    </w:pPr>
    <w:tblPr>
      <w:tblStyleRowBandSize w:val="1"/>
      <w:tblBorders>
        <w:top w:val="single" w:sz="8" w:space="0" w:color="B6CFBF" w:themeColor="accent1"/>
        <w:left w:val="single" w:sz="8" w:space="0" w:color="B6CFBF" w:themeColor="accent1"/>
        <w:bottom w:val="single" w:sz="8" w:space="0" w:color="B6CFBF" w:themeColor="accent1"/>
        <w:right w:val="single" w:sz="8" w:space="0" w:color="B6CFBF" w:themeColor="accent1"/>
        <w:insideH w:val="single" w:sz="8" w:space="0" w:color="B6CFBF" w:themeColor="accent1"/>
        <w:insideV w:val="single" w:sz="8" w:space="0" w:color="B6CFBF" w:themeColor="accent1"/>
      </w:tblBorders>
      <w:tblCellMar>
        <w:top w:w="142" w:type="dxa"/>
        <w:left w:w="170" w:type="dxa"/>
        <w:bottom w:w="85" w:type="dxa"/>
        <w:right w:w="170" w:type="dxa"/>
      </w:tblCellMar>
    </w:tblPr>
    <w:tblStylePr w:type="firstRow">
      <w:rPr>
        <w:b/>
        <w:color w:val="000000" w:themeColor="text1"/>
      </w:rPr>
      <w:tblPr/>
      <w:tcPr>
        <w:shd w:val="clear" w:color="auto" w:fill="B6CFBF" w:themeFill="accent1"/>
      </w:tcPr>
    </w:tblStylePr>
    <w:tblStylePr w:type="band1Horz">
      <w:tblPr/>
      <w:tcPr>
        <w:shd w:val="clear" w:color="auto" w:fill="DAE5DF"/>
      </w:tcPr>
    </w:tblStylePr>
    <w:tblStylePr w:type="band2Horz">
      <w:tblPr/>
      <w:tcPr>
        <w:shd w:val="clear" w:color="auto" w:fill="F3F7F4"/>
      </w:tcPr>
    </w:tblStylePr>
  </w:style>
  <w:style w:type="character" w:customStyle="1" w:styleId="Overskrift4Tegn">
    <w:name w:val="Overskrift 4 Tegn"/>
    <w:basedOn w:val="Standardskriftforavsnitt"/>
    <w:link w:val="Overskrift4"/>
    <w:uiPriority w:val="9"/>
    <w:rsid w:val="00DE25DC"/>
    <w:rPr>
      <w:rFonts w:asciiTheme="majorHAnsi" w:eastAsiaTheme="majorEastAsia" w:hAnsiTheme="majorHAnsi" w:cstheme="majorBidi"/>
      <w:i/>
      <w:iCs/>
      <w:color w:val="7BA88B" w:themeColor="accent1" w:themeShade="BF"/>
      <w:sz w:val="24"/>
      <w:lang w:val="nb-NO"/>
    </w:rPr>
  </w:style>
  <w:style w:type="character" w:customStyle="1" w:styleId="Overskrift5Tegn">
    <w:name w:val="Overskrift 5 Tegn"/>
    <w:basedOn w:val="Standardskriftforavsnitt"/>
    <w:link w:val="Overskrift5"/>
    <w:uiPriority w:val="9"/>
    <w:rsid w:val="00DE25DC"/>
    <w:rPr>
      <w:rFonts w:asciiTheme="majorHAnsi" w:eastAsiaTheme="majorEastAsia" w:hAnsiTheme="majorHAnsi" w:cstheme="majorBidi"/>
      <w:color w:val="7BA88B" w:themeColor="accent1" w:themeShade="BF"/>
      <w:sz w:val="24"/>
      <w:lang w:val="nb-NO"/>
    </w:rPr>
  </w:style>
  <w:style w:type="character" w:styleId="Hyperkobling">
    <w:name w:val="Hyperlink"/>
    <w:basedOn w:val="Standardskriftforavsnitt"/>
    <w:uiPriority w:val="99"/>
    <w:unhideWhenUsed/>
    <w:rsid w:val="00DE25DC"/>
    <w:rPr>
      <w:color w:val="0563C1" w:themeColor="hyperlink"/>
      <w:u w:val="single"/>
    </w:rPr>
  </w:style>
  <w:style w:type="character" w:styleId="Sterkreferanse">
    <w:name w:val="Intense Reference"/>
    <w:basedOn w:val="Standardskriftforavsnitt"/>
    <w:uiPriority w:val="32"/>
    <w:qFormat/>
    <w:rsid w:val="00A229E6"/>
    <w:rPr>
      <w:b/>
      <w:bCs/>
      <w:smallCaps/>
      <w:color w:val="B6CFBF" w:themeColor="accent1"/>
      <w:spacing w:val="5"/>
    </w:rPr>
  </w:style>
  <w:style w:type="character" w:styleId="Utheving">
    <w:name w:val="Emphasis"/>
    <w:basedOn w:val="Standardskriftforavsnitt"/>
    <w:uiPriority w:val="20"/>
    <w:qFormat/>
    <w:rsid w:val="00A229E6"/>
    <w:rPr>
      <w:i/>
      <w:iCs/>
    </w:rPr>
  </w:style>
  <w:style w:type="character" w:styleId="Merknadsreferanse">
    <w:name w:val="annotation reference"/>
    <w:basedOn w:val="Standardskriftforavsnitt"/>
    <w:uiPriority w:val="99"/>
    <w:semiHidden/>
    <w:unhideWhenUsed/>
    <w:rsid w:val="00F722B4"/>
    <w:rPr>
      <w:sz w:val="16"/>
      <w:szCs w:val="16"/>
    </w:rPr>
  </w:style>
  <w:style w:type="paragraph" w:styleId="Merknadstekst">
    <w:name w:val="annotation text"/>
    <w:basedOn w:val="Normal"/>
    <w:link w:val="MerknadstekstTegn"/>
    <w:uiPriority w:val="99"/>
    <w:unhideWhenUsed/>
    <w:rsid w:val="00F722B4"/>
    <w:rPr>
      <w:sz w:val="20"/>
    </w:rPr>
  </w:style>
  <w:style w:type="character" w:customStyle="1" w:styleId="MerknadstekstTegn">
    <w:name w:val="Merknadstekst Tegn"/>
    <w:basedOn w:val="Standardskriftforavsnitt"/>
    <w:link w:val="Merknadstekst"/>
    <w:uiPriority w:val="99"/>
    <w:rsid w:val="00F722B4"/>
    <w:rPr>
      <w:color w:val="000000" w:themeColor="text1"/>
      <w:lang w:val="nb-NO"/>
    </w:rPr>
  </w:style>
  <w:style w:type="paragraph" w:styleId="Kommentaremne">
    <w:name w:val="annotation subject"/>
    <w:basedOn w:val="Merknadstekst"/>
    <w:next w:val="Merknadstekst"/>
    <w:link w:val="KommentaremneTegn"/>
    <w:uiPriority w:val="99"/>
    <w:semiHidden/>
    <w:unhideWhenUsed/>
    <w:rsid w:val="00F722B4"/>
    <w:rPr>
      <w:b/>
      <w:bCs/>
    </w:rPr>
  </w:style>
  <w:style w:type="character" w:customStyle="1" w:styleId="KommentaremneTegn">
    <w:name w:val="Kommentaremne Tegn"/>
    <w:basedOn w:val="MerknadstekstTegn"/>
    <w:link w:val="Kommentaremne"/>
    <w:uiPriority w:val="99"/>
    <w:semiHidden/>
    <w:rsid w:val="00F722B4"/>
    <w:rPr>
      <w:b/>
      <w:bCs/>
      <w:color w:val="000000" w:themeColor="text1"/>
      <w:lang w:val="nb-NO"/>
    </w:rPr>
  </w:style>
  <w:style w:type="character" w:styleId="Ulstomtale">
    <w:name w:val="Unresolved Mention"/>
    <w:basedOn w:val="Standardskriftforavsnitt"/>
    <w:uiPriority w:val="99"/>
    <w:semiHidden/>
    <w:unhideWhenUsed/>
    <w:rsid w:val="00E67023"/>
    <w:rPr>
      <w:color w:val="605E5C"/>
      <w:shd w:val="clear" w:color="auto" w:fill="E1DFDD"/>
    </w:rPr>
  </w:style>
  <w:style w:type="paragraph" w:styleId="NormalWeb">
    <w:name w:val="Normal (Web)"/>
    <w:basedOn w:val="Normal"/>
    <w:uiPriority w:val="99"/>
    <w:semiHidden/>
    <w:unhideWhenUsed/>
    <w:rsid w:val="00713736"/>
    <w:pPr>
      <w:spacing w:before="100" w:beforeAutospacing="1" w:after="100" w:afterAutospacing="1"/>
    </w:pPr>
    <w:rPr>
      <w:rFonts w:ascii="Times New Roman" w:eastAsia="Times New Roman" w:hAnsi="Times New Roman" w:cs="Times New Roman"/>
      <w:color w:val="auto"/>
      <w:szCs w:val="24"/>
      <w:lang w:eastAsia="nb-NO"/>
    </w:rPr>
  </w:style>
  <w:style w:type="table" w:styleId="Rutenettabell5mrkuthevingsfarge3">
    <w:name w:val="Grid Table 5 Dark Accent 3"/>
    <w:basedOn w:val="Vanligtabell"/>
    <w:uiPriority w:val="50"/>
    <w:rsid w:val="00A254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1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1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1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169" w:themeFill="accent3"/>
      </w:tcPr>
    </w:tblStylePr>
    <w:tblStylePr w:type="band1Vert">
      <w:tblPr/>
      <w:tcPr>
        <w:shd w:val="clear" w:color="auto" w:fill="FFECC3" w:themeFill="accent3" w:themeFillTint="66"/>
      </w:tcPr>
    </w:tblStylePr>
    <w:tblStylePr w:type="band1Horz">
      <w:tblPr/>
      <w:tcPr>
        <w:shd w:val="clear" w:color="auto" w:fill="FFECC3" w:themeFill="accent3" w:themeFillTint="66"/>
      </w:tcPr>
    </w:tblStylePr>
  </w:style>
  <w:style w:type="table" w:styleId="Rutenettabell4uthevingsfarge3">
    <w:name w:val="Grid Table 4 Accent 3"/>
    <w:basedOn w:val="Vanligtabell"/>
    <w:uiPriority w:val="49"/>
    <w:rsid w:val="00A254EF"/>
    <w:pPr>
      <w:spacing w:after="0" w:line="240" w:lineRule="auto"/>
    </w:pPr>
    <w:tblPr>
      <w:tblStyleRowBandSize w:val="1"/>
      <w:tblStyleColBandSize w:val="1"/>
      <w:tblBorders>
        <w:top w:val="single" w:sz="4" w:space="0" w:color="FFE3A5" w:themeColor="accent3" w:themeTint="99"/>
        <w:left w:val="single" w:sz="4" w:space="0" w:color="FFE3A5" w:themeColor="accent3" w:themeTint="99"/>
        <w:bottom w:val="single" w:sz="4" w:space="0" w:color="FFE3A5" w:themeColor="accent3" w:themeTint="99"/>
        <w:right w:val="single" w:sz="4" w:space="0" w:color="FFE3A5" w:themeColor="accent3" w:themeTint="99"/>
        <w:insideH w:val="single" w:sz="4" w:space="0" w:color="FFE3A5" w:themeColor="accent3" w:themeTint="99"/>
        <w:insideV w:val="single" w:sz="4" w:space="0" w:color="FFE3A5" w:themeColor="accent3" w:themeTint="99"/>
      </w:tblBorders>
    </w:tblPr>
    <w:tblStylePr w:type="firstRow">
      <w:rPr>
        <w:b/>
        <w:bCs/>
        <w:color w:val="FFFFFF" w:themeColor="background1"/>
      </w:rPr>
      <w:tblPr/>
      <w:tcPr>
        <w:tcBorders>
          <w:top w:val="single" w:sz="4" w:space="0" w:color="FFD169" w:themeColor="accent3"/>
          <w:left w:val="single" w:sz="4" w:space="0" w:color="FFD169" w:themeColor="accent3"/>
          <w:bottom w:val="single" w:sz="4" w:space="0" w:color="FFD169" w:themeColor="accent3"/>
          <w:right w:val="single" w:sz="4" w:space="0" w:color="FFD169" w:themeColor="accent3"/>
          <w:insideH w:val="nil"/>
          <w:insideV w:val="nil"/>
        </w:tcBorders>
        <w:shd w:val="clear" w:color="auto" w:fill="FFD169" w:themeFill="accent3"/>
      </w:tcPr>
    </w:tblStylePr>
    <w:tblStylePr w:type="lastRow">
      <w:rPr>
        <w:b/>
        <w:bCs/>
      </w:rPr>
      <w:tblPr/>
      <w:tcPr>
        <w:tcBorders>
          <w:top w:val="double" w:sz="4" w:space="0" w:color="FFD169" w:themeColor="accent3"/>
        </w:tcBorders>
      </w:tcPr>
    </w:tblStylePr>
    <w:tblStylePr w:type="firstCol">
      <w:rPr>
        <w:b/>
        <w:bCs/>
      </w:rPr>
    </w:tblStylePr>
    <w:tblStylePr w:type="lastCol">
      <w:rPr>
        <w:b/>
        <w:bCs/>
      </w:rPr>
    </w:tblStylePr>
    <w:tblStylePr w:type="band1Vert">
      <w:tblPr/>
      <w:tcPr>
        <w:shd w:val="clear" w:color="auto" w:fill="FFF5E1" w:themeFill="accent3" w:themeFillTint="33"/>
      </w:tcPr>
    </w:tblStylePr>
    <w:tblStylePr w:type="band1Horz">
      <w:tblPr/>
      <w:tcPr>
        <w:shd w:val="clear" w:color="auto" w:fill="FFF5E1" w:themeFill="accent3" w:themeFillTint="33"/>
      </w:tcPr>
    </w:tblStylePr>
  </w:style>
  <w:style w:type="paragraph" w:styleId="Revisjon">
    <w:name w:val="Revision"/>
    <w:hidden/>
    <w:uiPriority w:val="99"/>
    <w:semiHidden/>
    <w:rsid w:val="004C5F27"/>
    <w:pPr>
      <w:spacing w:after="0" w:line="240" w:lineRule="auto"/>
    </w:pPr>
    <w:rPr>
      <w:color w:val="000000" w:themeColor="text1"/>
      <w:sz w:val="24"/>
      <w:lang w:val="nb-NO"/>
    </w:rPr>
  </w:style>
  <w:style w:type="table" w:styleId="Rutenettabell4uthevingsfarge4">
    <w:name w:val="Grid Table 4 Accent 4"/>
    <w:basedOn w:val="Vanligtabell"/>
    <w:uiPriority w:val="49"/>
    <w:rsid w:val="004F6C4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xmsolistparagraph">
    <w:name w:val="x_msolistparagraph"/>
    <w:basedOn w:val="Normal"/>
    <w:rsid w:val="006F2B33"/>
    <w:pPr>
      <w:spacing w:before="0"/>
      <w:ind w:left="720"/>
    </w:pPr>
    <w:rPr>
      <w:rFonts w:ascii="Calibri" w:hAnsi="Calibri" w:cs="Calibri"/>
      <w:color w:val="auto"/>
      <w:sz w:val="22"/>
      <w:szCs w:val="22"/>
      <w:lang w:eastAsia="nb-NO"/>
    </w:rPr>
  </w:style>
  <w:style w:type="paragraph" w:styleId="Fotnotetekst">
    <w:name w:val="footnote text"/>
    <w:basedOn w:val="Normal"/>
    <w:link w:val="FotnotetekstTegn"/>
    <w:uiPriority w:val="99"/>
    <w:semiHidden/>
    <w:unhideWhenUsed/>
    <w:rsid w:val="00200971"/>
    <w:pPr>
      <w:spacing w:before="0"/>
    </w:pPr>
    <w:rPr>
      <w:sz w:val="20"/>
    </w:rPr>
  </w:style>
  <w:style w:type="character" w:customStyle="1" w:styleId="FotnotetekstTegn">
    <w:name w:val="Fotnotetekst Tegn"/>
    <w:basedOn w:val="Standardskriftforavsnitt"/>
    <w:link w:val="Fotnotetekst"/>
    <w:uiPriority w:val="99"/>
    <w:semiHidden/>
    <w:rsid w:val="00200971"/>
    <w:rPr>
      <w:color w:val="000000" w:themeColor="text1"/>
      <w:lang w:val="nb-NO"/>
    </w:rPr>
  </w:style>
  <w:style w:type="character" w:styleId="Fotnotereferanse">
    <w:name w:val="footnote reference"/>
    <w:basedOn w:val="Standardskriftforavsnitt"/>
    <w:uiPriority w:val="99"/>
    <w:semiHidden/>
    <w:unhideWhenUsed/>
    <w:rsid w:val="00200971"/>
    <w:rPr>
      <w:vertAlign w:val="superscript"/>
    </w:rPr>
  </w:style>
  <w:style w:type="character" w:styleId="Omtale">
    <w:name w:val="Mention"/>
    <w:basedOn w:val="Standardskriftforavsnitt"/>
    <w:uiPriority w:val="99"/>
    <w:unhideWhenUsed/>
    <w:rsid w:val="00B32BEB"/>
    <w:rPr>
      <w:color w:val="2B579A"/>
      <w:shd w:val="clear" w:color="auto" w:fill="E1DFDD"/>
    </w:rPr>
  </w:style>
  <w:style w:type="paragraph" w:customStyle="1" w:styleId="y-list--item">
    <w:name w:val="y-list--item"/>
    <w:basedOn w:val="Normal"/>
    <w:rsid w:val="00D07B85"/>
    <w:pPr>
      <w:spacing w:before="100" w:beforeAutospacing="1" w:after="100" w:afterAutospacing="1"/>
    </w:pPr>
    <w:rPr>
      <w:rFonts w:ascii="Times New Roman" w:eastAsia="Times New Roman" w:hAnsi="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5885">
      <w:bodyDiv w:val="1"/>
      <w:marLeft w:val="0"/>
      <w:marRight w:val="0"/>
      <w:marTop w:val="0"/>
      <w:marBottom w:val="0"/>
      <w:divBdr>
        <w:top w:val="none" w:sz="0" w:space="0" w:color="auto"/>
        <w:left w:val="none" w:sz="0" w:space="0" w:color="auto"/>
        <w:bottom w:val="none" w:sz="0" w:space="0" w:color="auto"/>
        <w:right w:val="none" w:sz="0" w:space="0" w:color="auto"/>
      </w:divBdr>
      <w:divsChild>
        <w:div w:id="174656100">
          <w:marLeft w:val="0"/>
          <w:marRight w:val="0"/>
          <w:marTop w:val="0"/>
          <w:marBottom w:val="0"/>
          <w:divBdr>
            <w:top w:val="none" w:sz="0" w:space="0" w:color="auto"/>
            <w:left w:val="none" w:sz="0" w:space="0" w:color="auto"/>
            <w:bottom w:val="none" w:sz="0" w:space="0" w:color="auto"/>
            <w:right w:val="none" w:sz="0" w:space="0" w:color="auto"/>
          </w:divBdr>
          <w:divsChild>
            <w:div w:id="1919048681">
              <w:marLeft w:val="0"/>
              <w:marRight w:val="0"/>
              <w:marTop w:val="0"/>
              <w:marBottom w:val="0"/>
              <w:divBdr>
                <w:top w:val="none" w:sz="0" w:space="0" w:color="auto"/>
                <w:left w:val="none" w:sz="0" w:space="0" w:color="auto"/>
                <w:bottom w:val="none" w:sz="0" w:space="0" w:color="auto"/>
                <w:right w:val="none" w:sz="0" w:space="0" w:color="auto"/>
              </w:divBdr>
            </w:div>
          </w:divsChild>
        </w:div>
        <w:div w:id="1270619663">
          <w:marLeft w:val="0"/>
          <w:marRight w:val="0"/>
          <w:marTop w:val="0"/>
          <w:marBottom w:val="0"/>
          <w:divBdr>
            <w:top w:val="none" w:sz="0" w:space="0" w:color="auto"/>
            <w:left w:val="none" w:sz="0" w:space="0" w:color="auto"/>
            <w:bottom w:val="none" w:sz="0" w:space="0" w:color="auto"/>
            <w:right w:val="none" w:sz="0" w:space="0" w:color="auto"/>
          </w:divBdr>
          <w:divsChild>
            <w:div w:id="1778481166">
              <w:marLeft w:val="0"/>
              <w:marRight w:val="0"/>
              <w:marTop w:val="0"/>
              <w:marBottom w:val="0"/>
              <w:divBdr>
                <w:top w:val="none" w:sz="0" w:space="0" w:color="auto"/>
                <w:left w:val="none" w:sz="0" w:space="0" w:color="auto"/>
                <w:bottom w:val="none" w:sz="0" w:space="0" w:color="auto"/>
                <w:right w:val="none" w:sz="0" w:space="0" w:color="auto"/>
              </w:divBdr>
            </w:div>
          </w:divsChild>
        </w:div>
        <w:div w:id="1877546896">
          <w:marLeft w:val="0"/>
          <w:marRight w:val="0"/>
          <w:marTop w:val="0"/>
          <w:marBottom w:val="0"/>
          <w:divBdr>
            <w:top w:val="none" w:sz="0" w:space="0" w:color="auto"/>
            <w:left w:val="none" w:sz="0" w:space="0" w:color="auto"/>
            <w:bottom w:val="none" w:sz="0" w:space="0" w:color="auto"/>
            <w:right w:val="none" w:sz="0" w:space="0" w:color="auto"/>
          </w:divBdr>
          <w:divsChild>
            <w:div w:id="7276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9597">
      <w:bodyDiv w:val="1"/>
      <w:marLeft w:val="0"/>
      <w:marRight w:val="0"/>
      <w:marTop w:val="0"/>
      <w:marBottom w:val="0"/>
      <w:divBdr>
        <w:top w:val="none" w:sz="0" w:space="0" w:color="auto"/>
        <w:left w:val="none" w:sz="0" w:space="0" w:color="auto"/>
        <w:bottom w:val="none" w:sz="0" w:space="0" w:color="auto"/>
        <w:right w:val="none" w:sz="0" w:space="0" w:color="auto"/>
      </w:divBdr>
    </w:div>
    <w:div w:id="174466203">
      <w:bodyDiv w:val="1"/>
      <w:marLeft w:val="0"/>
      <w:marRight w:val="0"/>
      <w:marTop w:val="0"/>
      <w:marBottom w:val="0"/>
      <w:divBdr>
        <w:top w:val="none" w:sz="0" w:space="0" w:color="auto"/>
        <w:left w:val="none" w:sz="0" w:space="0" w:color="auto"/>
        <w:bottom w:val="none" w:sz="0" w:space="0" w:color="auto"/>
        <w:right w:val="none" w:sz="0" w:space="0" w:color="auto"/>
      </w:divBdr>
    </w:div>
    <w:div w:id="305548245">
      <w:bodyDiv w:val="1"/>
      <w:marLeft w:val="0"/>
      <w:marRight w:val="0"/>
      <w:marTop w:val="0"/>
      <w:marBottom w:val="0"/>
      <w:divBdr>
        <w:top w:val="none" w:sz="0" w:space="0" w:color="auto"/>
        <w:left w:val="none" w:sz="0" w:space="0" w:color="auto"/>
        <w:bottom w:val="none" w:sz="0" w:space="0" w:color="auto"/>
        <w:right w:val="none" w:sz="0" w:space="0" w:color="auto"/>
      </w:divBdr>
    </w:div>
    <w:div w:id="339089271">
      <w:bodyDiv w:val="1"/>
      <w:marLeft w:val="0"/>
      <w:marRight w:val="0"/>
      <w:marTop w:val="0"/>
      <w:marBottom w:val="0"/>
      <w:divBdr>
        <w:top w:val="none" w:sz="0" w:space="0" w:color="auto"/>
        <w:left w:val="none" w:sz="0" w:space="0" w:color="auto"/>
        <w:bottom w:val="none" w:sz="0" w:space="0" w:color="auto"/>
        <w:right w:val="none" w:sz="0" w:space="0" w:color="auto"/>
      </w:divBdr>
    </w:div>
    <w:div w:id="379549733">
      <w:bodyDiv w:val="1"/>
      <w:marLeft w:val="0"/>
      <w:marRight w:val="0"/>
      <w:marTop w:val="0"/>
      <w:marBottom w:val="0"/>
      <w:divBdr>
        <w:top w:val="none" w:sz="0" w:space="0" w:color="auto"/>
        <w:left w:val="none" w:sz="0" w:space="0" w:color="auto"/>
        <w:bottom w:val="none" w:sz="0" w:space="0" w:color="auto"/>
        <w:right w:val="none" w:sz="0" w:space="0" w:color="auto"/>
      </w:divBdr>
      <w:divsChild>
        <w:div w:id="430315652">
          <w:marLeft w:val="0"/>
          <w:marRight w:val="0"/>
          <w:marTop w:val="0"/>
          <w:marBottom w:val="0"/>
          <w:divBdr>
            <w:top w:val="none" w:sz="0" w:space="0" w:color="auto"/>
            <w:left w:val="none" w:sz="0" w:space="0" w:color="auto"/>
            <w:bottom w:val="none" w:sz="0" w:space="0" w:color="auto"/>
            <w:right w:val="none" w:sz="0" w:space="0" w:color="auto"/>
          </w:divBdr>
          <w:divsChild>
            <w:div w:id="462385994">
              <w:marLeft w:val="0"/>
              <w:marRight w:val="0"/>
              <w:marTop w:val="0"/>
              <w:marBottom w:val="0"/>
              <w:divBdr>
                <w:top w:val="none" w:sz="0" w:space="0" w:color="auto"/>
                <w:left w:val="none" w:sz="0" w:space="0" w:color="auto"/>
                <w:bottom w:val="none" w:sz="0" w:space="0" w:color="auto"/>
                <w:right w:val="none" w:sz="0" w:space="0" w:color="auto"/>
              </w:divBdr>
            </w:div>
          </w:divsChild>
        </w:div>
        <w:div w:id="1121917541">
          <w:marLeft w:val="0"/>
          <w:marRight w:val="0"/>
          <w:marTop w:val="0"/>
          <w:marBottom w:val="0"/>
          <w:divBdr>
            <w:top w:val="none" w:sz="0" w:space="0" w:color="auto"/>
            <w:left w:val="none" w:sz="0" w:space="0" w:color="auto"/>
            <w:bottom w:val="none" w:sz="0" w:space="0" w:color="auto"/>
            <w:right w:val="none" w:sz="0" w:space="0" w:color="auto"/>
          </w:divBdr>
          <w:divsChild>
            <w:div w:id="861355334">
              <w:marLeft w:val="0"/>
              <w:marRight w:val="0"/>
              <w:marTop w:val="0"/>
              <w:marBottom w:val="0"/>
              <w:divBdr>
                <w:top w:val="none" w:sz="0" w:space="0" w:color="auto"/>
                <w:left w:val="none" w:sz="0" w:space="0" w:color="auto"/>
                <w:bottom w:val="none" w:sz="0" w:space="0" w:color="auto"/>
                <w:right w:val="none" w:sz="0" w:space="0" w:color="auto"/>
              </w:divBdr>
            </w:div>
          </w:divsChild>
        </w:div>
        <w:div w:id="1463839095">
          <w:marLeft w:val="0"/>
          <w:marRight w:val="0"/>
          <w:marTop w:val="0"/>
          <w:marBottom w:val="0"/>
          <w:divBdr>
            <w:top w:val="none" w:sz="0" w:space="0" w:color="auto"/>
            <w:left w:val="none" w:sz="0" w:space="0" w:color="auto"/>
            <w:bottom w:val="none" w:sz="0" w:space="0" w:color="auto"/>
            <w:right w:val="none" w:sz="0" w:space="0" w:color="auto"/>
          </w:divBdr>
          <w:divsChild>
            <w:div w:id="1217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30207">
      <w:bodyDiv w:val="1"/>
      <w:marLeft w:val="0"/>
      <w:marRight w:val="0"/>
      <w:marTop w:val="0"/>
      <w:marBottom w:val="0"/>
      <w:divBdr>
        <w:top w:val="none" w:sz="0" w:space="0" w:color="auto"/>
        <w:left w:val="none" w:sz="0" w:space="0" w:color="auto"/>
        <w:bottom w:val="none" w:sz="0" w:space="0" w:color="auto"/>
        <w:right w:val="none" w:sz="0" w:space="0" w:color="auto"/>
      </w:divBdr>
      <w:divsChild>
        <w:div w:id="277566976">
          <w:marLeft w:val="0"/>
          <w:marRight w:val="0"/>
          <w:marTop w:val="0"/>
          <w:marBottom w:val="0"/>
          <w:divBdr>
            <w:top w:val="none" w:sz="0" w:space="0" w:color="auto"/>
            <w:left w:val="none" w:sz="0" w:space="0" w:color="auto"/>
            <w:bottom w:val="none" w:sz="0" w:space="0" w:color="auto"/>
            <w:right w:val="none" w:sz="0" w:space="0" w:color="auto"/>
          </w:divBdr>
          <w:divsChild>
            <w:div w:id="521627495">
              <w:marLeft w:val="0"/>
              <w:marRight w:val="0"/>
              <w:marTop w:val="0"/>
              <w:marBottom w:val="0"/>
              <w:divBdr>
                <w:top w:val="none" w:sz="0" w:space="0" w:color="auto"/>
                <w:left w:val="none" w:sz="0" w:space="0" w:color="auto"/>
                <w:bottom w:val="none" w:sz="0" w:space="0" w:color="auto"/>
                <w:right w:val="none" w:sz="0" w:space="0" w:color="auto"/>
              </w:divBdr>
            </w:div>
          </w:divsChild>
        </w:div>
        <w:div w:id="1418788966">
          <w:marLeft w:val="0"/>
          <w:marRight w:val="0"/>
          <w:marTop w:val="0"/>
          <w:marBottom w:val="0"/>
          <w:divBdr>
            <w:top w:val="none" w:sz="0" w:space="0" w:color="auto"/>
            <w:left w:val="none" w:sz="0" w:space="0" w:color="auto"/>
            <w:bottom w:val="none" w:sz="0" w:space="0" w:color="auto"/>
            <w:right w:val="none" w:sz="0" w:space="0" w:color="auto"/>
          </w:divBdr>
          <w:divsChild>
            <w:div w:id="1480539543">
              <w:marLeft w:val="0"/>
              <w:marRight w:val="0"/>
              <w:marTop w:val="0"/>
              <w:marBottom w:val="0"/>
              <w:divBdr>
                <w:top w:val="none" w:sz="0" w:space="0" w:color="auto"/>
                <w:left w:val="none" w:sz="0" w:space="0" w:color="auto"/>
                <w:bottom w:val="none" w:sz="0" w:space="0" w:color="auto"/>
                <w:right w:val="none" w:sz="0" w:space="0" w:color="auto"/>
              </w:divBdr>
            </w:div>
          </w:divsChild>
        </w:div>
        <w:div w:id="2142190827">
          <w:marLeft w:val="0"/>
          <w:marRight w:val="0"/>
          <w:marTop w:val="0"/>
          <w:marBottom w:val="0"/>
          <w:divBdr>
            <w:top w:val="none" w:sz="0" w:space="0" w:color="auto"/>
            <w:left w:val="none" w:sz="0" w:space="0" w:color="auto"/>
            <w:bottom w:val="none" w:sz="0" w:space="0" w:color="auto"/>
            <w:right w:val="none" w:sz="0" w:space="0" w:color="auto"/>
          </w:divBdr>
          <w:divsChild>
            <w:div w:id="13328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3460">
      <w:bodyDiv w:val="1"/>
      <w:marLeft w:val="0"/>
      <w:marRight w:val="0"/>
      <w:marTop w:val="0"/>
      <w:marBottom w:val="0"/>
      <w:divBdr>
        <w:top w:val="none" w:sz="0" w:space="0" w:color="auto"/>
        <w:left w:val="none" w:sz="0" w:space="0" w:color="auto"/>
        <w:bottom w:val="none" w:sz="0" w:space="0" w:color="auto"/>
        <w:right w:val="none" w:sz="0" w:space="0" w:color="auto"/>
      </w:divBdr>
    </w:div>
    <w:div w:id="724256046">
      <w:bodyDiv w:val="1"/>
      <w:marLeft w:val="0"/>
      <w:marRight w:val="0"/>
      <w:marTop w:val="0"/>
      <w:marBottom w:val="0"/>
      <w:divBdr>
        <w:top w:val="none" w:sz="0" w:space="0" w:color="auto"/>
        <w:left w:val="none" w:sz="0" w:space="0" w:color="auto"/>
        <w:bottom w:val="none" w:sz="0" w:space="0" w:color="auto"/>
        <w:right w:val="none" w:sz="0" w:space="0" w:color="auto"/>
      </w:divBdr>
    </w:div>
    <w:div w:id="775255044">
      <w:bodyDiv w:val="1"/>
      <w:marLeft w:val="0"/>
      <w:marRight w:val="0"/>
      <w:marTop w:val="0"/>
      <w:marBottom w:val="0"/>
      <w:divBdr>
        <w:top w:val="none" w:sz="0" w:space="0" w:color="auto"/>
        <w:left w:val="none" w:sz="0" w:space="0" w:color="auto"/>
        <w:bottom w:val="none" w:sz="0" w:space="0" w:color="auto"/>
        <w:right w:val="none" w:sz="0" w:space="0" w:color="auto"/>
      </w:divBdr>
    </w:div>
    <w:div w:id="824779529">
      <w:bodyDiv w:val="1"/>
      <w:marLeft w:val="0"/>
      <w:marRight w:val="0"/>
      <w:marTop w:val="0"/>
      <w:marBottom w:val="0"/>
      <w:divBdr>
        <w:top w:val="none" w:sz="0" w:space="0" w:color="auto"/>
        <w:left w:val="none" w:sz="0" w:space="0" w:color="auto"/>
        <w:bottom w:val="none" w:sz="0" w:space="0" w:color="auto"/>
        <w:right w:val="none" w:sz="0" w:space="0" w:color="auto"/>
      </w:divBdr>
    </w:div>
    <w:div w:id="1019501280">
      <w:bodyDiv w:val="1"/>
      <w:marLeft w:val="0"/>
      <w:marRight w:val="0"/>
      <w:marTop w:val="0"/>
      <w:marBottom w:val="0"/>
      <w:divBdr>
        <w:top w:val="none" w:sz="0" w:space="0" w:color="auto"/>
        <w:left w:val="none" w:sz="0" w:space="0" w:color="auto"/>
        <w:bottom w:val="none" w:sz="0" w:space="0" w:color="auto"/>
        <w:right w:val="none" w:sz="0" w:space="0" w:color="auto"/>
      </w:divBdr>
    </w:div>
    <w:div w:id="1072894811">
      <w:bodyDiv w:val="1"/>
      <w:marLeft w:val="0"/>
      <w:marRight w:val="0"/>
      <w:marTop w:val="0"/>
      <w:marBottom w:val="0"/>
      <w:divBdr>
        <w:top w:val="none" w:sz="0" w:space="0" w:color="auto"/>
        <w:left w:val="none" w:sz="0" w:space="0" w:color="auto"/>
        <w:bottom w:val="none" w:sz="0" w:space="0" w:color="auto"/>
        <w:right w:val="none" w:sz="0" w:space="0" w:color="auto"/>
      </w:divBdr>
    </w:div>
    <w:div w:id="1160082029">
      <w:bodyDiv w:val="1"/>
      <w:marLeft w:val="0"/>
      <w:marRight w:val="0"/>
      <w:marTop w:val="0"/>
      <w:marBottom w:val="0"/>
      <w:divBdr>
        <w:top w:val="none" w:sz="0" w:space="0" w:color="auto"/>
        <w:left w:val="none" w:sz="0" w:space="0" w:color="auto"/>
        <w:bottom w:val="none" w:sz="0" w:space="0" w:color="auto"/>
        <w:right w:val="none" w:sz="0" w:space="0" w:color="auto"/>
      </w:divBdr>
    </w:div>
    <w:div w:id="1197885705">
      <w:bodyDiv w:val="1"/>
      <w:marLeft w:val="0"/>
      <w:marRight w:val="0"/>
      <w:marTop w:val="0"/>
      <w:marBottom w:val="0"/>
      <w:divBdr>
        <w:top w:val="none" w:sz="0" w:space="0" w:color="auto"/>
        <w:left w:val="none" w:sz="0" w:space="0" w:color="auto"/>
        <w:bottom w:val="none" w:sz="0" w:space="0" w:color="auto"/>
        <w:right w:val="none" w:sz="0" w:space="0" w:color="auto"/>
      </w:divBdr>
    </w:div>
    <w:div w:id="1223757423">
      <w:bodyDiv w:val="1"/>
      <w:marLeft w:val="0"/>
      <w:marRight w:val="0"/>
      <w:marTop w:val="0"/>
      <w:marBottom w:val="0"/>
      <w:divBdr>
        <w:top w:val="none" w:sz="0" w:space="0" w:color="auto"/>
        <w:left w:val="none" w:sz="0" w:space="0" w:color="auto"/>
        <w:bottom w:val="none" w:sz="0" w:space="0" w:color="auto"/>
        <w:right w:val="none" w:sz="0" w:space="0" w:color="auto"/>
      </w:divBdr>
    </w:div>
    <w:div w:id="1318609968">
      <w:bodyDiv w:val="1"/>
      <w:marLeft w:val="0"/>
      <w:marRight w:val="0"/>
      <w:marTop w:val="0"/>
      <w:marBottom w:val="0"/>
      <w:divBdr>
        <w:top w:val="none" w:sz="0" w:space="0" w:color="auto"/>
        <w:left w:val="none" w:sz="0" w:space="0" w:color="auto"/>
        <w:bottom w:val="none" w:sz="0" w:space="0" w:color="auto"/>
        <w:right w:val="none" w:sz="0" w:space="0" w:color="auto"/>
      </w:divBdr>
      <w:divsChild>
        <w:div w:id="87435648">
          <w:marLeft w:val="0"/>
          <w:marRight w:val="0"/>
          <w:marTop w:val="0"/>
          <w:marBottom w:val="0"/>
          <w:divBdr>
            <w:top w:val="none" w:sz="0" w:space="0" w:color="auto"/>
            <w:left w:val="none" w:sz="0" w:space="0" w:color="auto"/>
            <w:bottom w:val="none" w:sz="0" w:space="0" w:color="auto"/>
            <w:right w:val="none" w:sz="0" w:space="0" w:color="auto"/>
          </w:divBdr>
          <w:divsChild>
            <w:div w:id="1828208684">
              <w:marLeft w:val="0"/>
              <w:marRight w:val="0"/>
              <w:marTop w:val="0"/>
              <w:marBottom w:val="0"/>
              <w:divBdr>
                <w:top w:val="none" w:sz="0" w:space="0" w:color="auto"/>
                <w:left w:val="none" w:sz="0" w:space="0" w:color="auto"/>
                <w:bottom w:val="none" w:sz="0" w:space="0" w:color="auto"/>
                <w:right w:val="none" w:sz="0" w:space="0" w:color="auto"/>
              </w:divBdr>
            </w:div>
          </w:divsChild>
        </w:div>
        <w:div w:id="564147300">
          <w:marLeft w:val="0"/>
          <w:marRight w:val="0"/>
          <w:marTop w:val="0"/>
          <w:marBottom w:val="0"/>
          <w:divBdr>
            <w:top w:val="none" w:sz="0" w:space="0" w:color="auto"/>
            <w:left w:val="none" w:sz="0" w:space="0" w:color="auto"/>
            <w:bottom w:val="none" w:sz="0" w:space="0" w:color="auto"/>
            <w:right w:val="none" w:sz="0" w:space="0" w:color="auto"/>
          </w:divBdr>
          <w:divsChild>
            <w:div w:id="1756123096">
              <w:marLeft w:val="0"/>
              <w:marRight w:val="0"/>
              <w:marTop w:val="0"/>
              <w:marBottom w:val="0"/>
              <w:divBdr>
                <w:top w:val="none" w:sz="0" w:space="0" w:color="auto"/>
                <w:left w:val="none" w:sz="0" w:space="0" w:color="auto"/>
                <w:bottom w:val="none" w:sz="0" w:space="0" w:color="auto"/>
                <w:right w:val="none" w:sz="0" w:space="0" w:color="auto"/>
              </w:divBdr>
            </w:div>
          </w:divsChild>
        </w:div>
        <w:div w:id="1944609314">
          <w:marLeft w:val="0"/>
          <w:marRight w:val="0"/>
          <w:marTop w:val="0"/>
          <w:marBottom w:val="0"/>
          <w:divBdr>
            <w:top w:val="none" w:sz="0" w:space="0" w:color="auto"/>
            <w:left w:val="none" w:sz="0" w:space="0" w:color="auto"/>
            <w:bottom w:val="none" w:sz="0" w:space="0" w:color="auto"/>
            <w:right w:val="none" w:sz="0" w:space="0" w:color="auto"/>
          </w:divBdr>
          <w:divsChild>
            <w:div w:id="1691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6739">
      <w:bodyDiv w:val="1"/>
      <w:marLeft w:val="0"/>
      <w:marRight w:val="0"/>
      <w:marTop w:val="0"/>
      <w:marBottom w:val="0"/>
      <w:divBdr>
        <w:top w:val="none" w:sz="0" w:space="0" w:color="auto"/>
        <w:left w:val="none" w:sz="0" w:space="0" w:color="auto"/>
        <w:bottom w:val="none" w:sz="0" w:space="0" w:color="auto"/>
        <w:right w:val="none" w:sz="0" w:space="0" w:color="auto"/>
      </w:divBdr>
    </w:div>
    <w:div w:id="1385131854">
      <w:bodyDiv w:val="1"/>
      <w:marLeft w:val="0"/>
      <w:marRight w:val="0"/>
      <w:marTop w:val="0"/>
      <w:marBottom w:val="0"/>
      <w:divBdr>
        <w:top w:val="none" w:sz="0" w:space="0" w:color="auto"/>
        <w:left w:val="none" w:sz="0" w:space="0" w:color="auto"/>
        <w:bottom w:val="none" w:sz="0" w:space="0" w:color="auto"/>
        <w:right w:val="none" w:sz="0" w:space="0" w:color="auto"/>
      </w:divBdr>
    </w:div>
    <w:div w:id="1401320409">
      <w:bodyDiv w:val="1"/>
      <w:marLeft w:val="0"/>
      <w:marRight w:val="0"/>
      <w:marTop w:val="0"/>
      <w:marBottom w:val="0"/>
      <w:divBdr>
        <w:top w:val="none" w:sz="0" w:space="0" w:color="auto"/>
        <w:left w:val="none" w:sz="0" w:space="0" w:color="auto"/>
        <w:bottom w:val="none" w:sz="0" w:space="0" w:color="auto"/>
        <w:right w:val="none" w:sz="0" w:space="0" w:color="auto"/>
      </w:divBdr>
    </w:div>
    <w:div w:id="1608660327">
      <w:bodyDiv w:val="1"/>
      <w:marLeft w:val="0"/>
      <w:marRight w:val="0"/>
      <w:marTop w:val="0"/>
      <w:marBottom w:val="0"/>
      <w:divBdr>
        <w:top w:val="none" w:sz="0" w:space="0" w:color="auto"/>
        <w:left w:val="none" w:sz="0" w:space="0" w:color="auto"/>
        <w:bottom w:val="none" w:sz="0" w:space="0" w:color="auto"/>
        <w:right w:val="none" w:sz="0" w:space="0" w:color="auto"/>
      </w:divBdr>
    </w:div>
    <w:div w:id="1653943390">
      <w:bodyDiv w:val="1"/>
      <w:marLeft w:val="0"/>
      <w:marRight w:val="0"/>
      <w:marTop w:val="0"/>
      <w:marBottom w:val="0"/>
      <w:divBdr>
        <w:top w:val="none" w:sz="0" w:space="0" w:color="auto"/>
        <w:left w:val="none" w:sz="0" w:space="0" w:color="auto"/>
        <w:bottom w:val="none" w:sz="0" w:space="0" w:color="auto"/>
        <w:right w:val="none" w:sz="0" w:space="0" w:color="auto"/>
      </w:divBdr>
    </w:div>
    <w:div w:id="1957828942">
      <w:bodyDiv w:val="1"/>
      <w:marLeft w:val="0"/>
      <w:marRight w:val="0"/>
      <w:marTop w:val="0"/>
      <w:marBottom w:val="0"/>
      <w:divBdr>
        <w:top w:val="none" w:sz="0" w:space="0" w:color="auto"/>
        <w:left w:val="none" w:sz="0" w:space="0" w:color="auto"/>
        <w:bottom w:val="none" w:sz="0" w:space="0" w:color="auto"/>
        <w:right w:val="none" w:sz="0" w:space="0" w:color="auto"/>
      </w:divBdr>
      <w:divsChild>
        <w:div w:id="1342584018">
          <w:marLeft w:val="0"/>
          <w:marRight w:val="0"/>
          <w:marTop w:val="0"/>
          <w:marBottom w:val="0"/>
          <w:divBdr>
            <w:top w:val="none" w:sz="0" w:space="0" w:color="auto"/>
            <w:left w:val="none" w:sz="0" w:space="0" w:color="auto"/>
            <w:bottom w:val="none" w:sz="0" w:space="0" w:color="auto"/>
            <w:right w:val="none" w:sz="0" w:space="0" w:color="auto"/>
          </w:divBdr>
        </w:div>
      </w:divsChild>
    </w:div>
    <w:div w:id="2045980749">
      <w:bodyDiv w:val="1"/>
      <w:marLeft w:val="0"/>
      <w:marRight w:val="0"/>
      <w:marTop w:val="0"/>
      <w:marBottom w:val="0"/>
      <w:divBdr>
        <w:top w:val="none" w:sz="0" w:space="0" w:color="auto"/>
        <w:left w:val="none" w:sz="0" w:space="0" w:color="auto"/>
        <w:bottom w:val="none" w:sz="0" w:space="0" w:color="auto"/>
        <w:right w:val="none" w:sz="0" w:space="0" w:color="auto"/>
      </w:divBdr>
    </w:div>
    <w:div w:id="20911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b\AppData\Local\Microsoft\Windows\INetCache\Content.Outlook\ESYP6RUZ\Likestillingsredegj&#248;relse%20(003).dotx" TargetMode="External"/></Relationships>
</file>

<file path=word/theme/theme1.xml><?xml version="1.0" encoding="utf-8"?>
<a:theme xmlns:a="http://schemas.openxmlformats.org/drawingml/2006/main" name="Office Theme">
  <a:themeElements>
    <a:clrScheme name="Egendefinert 1">
      <a:dk1>
        <a:sysClr val="windowText" lastClr="000000"/>
      </a:dk1>
      <a:lt1>
        <a:sysClr val="window" lastClr="FFFFFF"/>
      </a:lt1>
      <a:dk2>
        <a:srgbClr val="403E40"/>
      </a:dk2>
      <a:lt2>
        <a:srgbClr val="E7E6E6"/>
      </a:lt2>
      <a:accent1>
        <a:srgbClr val="B6CFBF"/>
      </a:accent1>
      <a:accent2>
        <a:srgbClr val="A9A487"/>
      </a:accent2>
      <a:accent3>
        <a:srgbClr val="FFD169"/>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48B86C43669641805AF1007996F967" ma:contentTypeVersion="15" ma:contentTypeDescription="Create a new document." ma:contentTypeScope="" ma:versionID="89b9052aa2463f888c5731fa33a010a6">
  <xsd:schema xmlns:xsd="http://www.w3.org/2001/XMLSchema" xmlns:xs="http://www.w3.org/2001/XMLSchema" xmlns:p="http://schemas.microsoft.com/office/2006/metadata/properties" xmlns:ns3="ef9552ac-dab7-4e89-850f-f951992375e2" xmlns:ns4="3425104a-bbc4-4f60-8326-c13b9dfe968e" targetNamespace="http://schemas.microsoft.com/office/2006/metadata/properties" ma:root="true" ma:fieldsID="7699901f05d4c1d9be0c59e2fc2f6ede" ns3:_="" ns4:_="">
    <xsd:import namespace="ef9552ac-dab7-4e89-850f-f951992375e2"/>
    <xsd:import namespace="3425104a-bbc4-4f60-8326-c13b9dfe968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552ac-dab7-4e89-850f-f9519923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25104a-bbc4-4f60-8326-c13b9dfe96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f9552ac-dab7-4e89-850f-f951992375e2" xsi:nil="true"/>
  </documentManagement>
</p:properties>
</file>

<file path=customXml/itemProps1.xml><?xml version="1.0" encoding="utf-8"?>
<ds:datastoreItem xmlns:ds="http://schemas.openxmlformats.org/officeDocument/2006/customXml" ds:itemID="{61F366BD-9745-43FE-B818-C7E5A7791E1A}">
  <ds:schemaRefs>
    <ds:schemaRef ds:uri="http://schemas.microsoft.com/sharepoint/v3/contenttype/forms"/>
  </ds:schemaRefs>
</ds:datastoreItem>
</file>

<file path=customXml/itemProps2.xml><?xml version="1.0" encoding="utf-8"?>
<ds:datastoreItem xmlns:ds="http://schemas.openxmlformats.org/officeDocument/2006/customXml" ds:itemID="{941EAF6A-5376-4821-87EA-F0CB4747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552ac-dab7-4e89-850f-f951992375e2"/>
    <ds:schemaRef ds:uri="3425104a-bbc4-4f60-8326-c13b9dfe9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CC235-6EEF-486A-A343-76A5D2F0CF3E}">
  <ds:schemaRefs>
    <ds:schemaRef ds:uri="http://schemas.openxmlformats.org/officeDocument/2006/bibliography"/>
  </ds:schemaRefs>
</ds:datastoreItem>
</file>

<file path=customXml/itemProps4.xml><?xml version="1.0" encoding="utf-8"?>
<ds:datastoreItem xmlns:ds="http://schemas.openxmlformats.org/officeDocument/2006/customXml" ds:itemID="{AABBC160-B4EE-4E06-99DE-14BD1E92C9A5}">
  <ds:schemaRefs>
    <ds:schemaRef ds:uri="http://schemas.microsoft.com/office/2006/metadata/properties"/>
    <ds:schemaRef ds:uri="http://schemas.microsoft.com/office/infopath/2007/PartnerControls"/>
    <ds:schemaRef ds:uri="ef9552ac-dab7-4e89-850f-f951992375e2"/>
  </ds:schemaRefs>
</ds:datastoreItem>
</file>

<file path=docProps/app.xml><?xml version="1.0" encoding="utf-8"?>
<Properties xmlns="http://schemas.openxmlformats.org/officeDocument/2006/extended-properties" xmlns:vt="http://schemas.openxmlformats.org/officeDocument/2006/docPropsVTypes">
  <Template>Likestillingsredegjørelse (003)</Template>
  <TotalTime>0</TotalTime>
  <Pages>9</Pages>
  <Words>3190</Words>
  <Characters>18188</Characters>
  <Application>Microsoft Office Word</Application>
  <DocSecurity>0</DocSecurity>
  <Lines>151</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Sofie Borgen Skjetne</dc:creator>
  <cp:keywords/>
  <dc:description/>
  <cp:lastModifiedBy>Janecke Mathiesen</cp:lastModifiedBy>
  <cp:revision>2</cp:revision>
  <cp:lastPrinted>2024-03-13T19:05:00Z</cp:lastPrinted>
  <dcterms:created xsi:type="dcterms:W3CDTF">2024-03-19T12:47:00Z</dcterms:created>
  <dcterms:modified xsi:type="dcterms:W3CDTF">2024-03-19T12:47:00Z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0x0101002548B86C43669641805AF1007996F967</vt:lpwstr>
  </property>
  <property fmtid="{D5CDD505-2E9C-101B-9397-08002B2CF9AE}" pid="4" name="MediaServiceImageTags">
    <vt:lpwstr/>
  </property>
</Properties>
</file>